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</w:rPr>
        <w:t>县审计局202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（一）总体情况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t>   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我局认真贯彻落实上级关于政府信息公开工作的规定要求，立足部门职能，进一步健全组织机构、加强监督检查，积极稳妥地开展政府信息公开工作，不断增强审计工作的透明度，保障了人民群众的知情权、参与权和监督权，保障了政府信息公开工作依法、及时、准确、有序地开展。全年共发布各类信息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余条</w:t>
      </w:r>
      <w:r>
        <w:rPr>
          <w:rFonts w:hint="eastAsia" w:ascii="宋体" w:hAnsi="宋体" w:eastAsia="宋体" w:cs="宋体"/>
          <w:sz w:val="24"/>
          <w:szCs w:val="24"/>
        </w:rPr>
        <w:t>，</w:t>
      </w:r>
      <w:bookmarkEnd w:id="0"/>
      <w:r>
        <w:rPr>
          <w:rFonts w:hint="eastAsia" w:ascii="宋体" w:hAnsi="宋体" w:eastAsia="宋体" w:cs="宋体"/>
          <w:sz w:val="24"/>
          <w:szCs w:val="24"/>
        </w:rPr>
        <w:t>主要涉及审计业务、党建业务、党风廉政建设等各类动态信息。 加强领导，高度重视。 我局认真贯彻落实县委、县政府关于政务公开工作的部署和要求，把政府信息公开作为推进机关作风建设、促进审计事业发展、树立新形象的重要举措。由办公室实行集中统一归口管理，承担政务公开和政府信息公开日常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（二）主动公开政府信息的情况</w:t>
      </w:r>
    </w:p>
    <w:tbl>
      <w:tblPr>
        <w:tblStyle w:val="5"/>
        <w:tblW w:w="6738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500"/>
        <w:gridCol w:w="1746"/>
        <w:gridCol w:w="1746"/>
        <w:gridCol w:w="1746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6738" w:type="dxa"/>
            <w:gridSpan w:val="4"/>
            <w:tcBorders>
              <w:top w:val="single" w:color="DCE1E5" w:sz="12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F7F7F7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color w:val="005997"/>
              </w:rPr>
            </w:pPr>
            <w:r>
              <w:rPr>
                <w:rFonts w:ascii="宋体" w:hAnsi="宋体" w:eastAsia="宋体" w:cs="宋体"/>
                <w:b w:val="0"/>
                <w:color w:val="005997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5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5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5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74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3492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264"/>
        <w:gridCol w:w="2228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3492" w:type="dxa"/>
            <w:gridSpan w:val="2"/>
            <w:tcBorders>
              <w:top w:val="single" w:color="DCE1E5" w:sz="12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F7F7F7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color w:val="005997"/>
              </w:rPr>
            </w:pPr>
            <w:r>
              <w:rPr>
                <w:rFonts w:ascii="宋体" w:hAnsi="宋体" w:eastAsia="宋体" w:cs="宋体"/>
                <w:b w:val="0"/>
                <w:color w:val="005997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264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22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264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22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3492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264"/>
        <w:gridCol w:w="2228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3492" w:type="dxa"/>
            <w:gridSpan w:val="2"/>
            <w:tcBorders>
              <w:top w:val="single" w:color="DCE1E5" w:sz="12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F7F7F7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color w:val="005997"/>
              </w:rPr>
            </w:pPr>
            <w:r>
              <w:rPr>
                <w:rFonts w:ascii="宋体" w:hAnsi="宋体" w:eastAsia="宋体" w:cs="宋体"/>
                <w:b w:val="0"/>
                <w:color w:val="005997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264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22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264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22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264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22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7920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1980"/>
        <w:gridCol w:w="5940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blHeader/>
        </w:trPr>
        <w:tc>
          <w:tcPr>
            <w:tcW w:w="7920" w:type="dxa"/>
            <w:gridSpan w:val="2"/>
            <w:tcBorders>
              <w:top w:val="single" w:color="DCE1E5" w:sz="12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F7F7F7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 w:val="0"/>
                <w:color w:val="005997"/>
              </w:rPr>
            </w:pPr>
            <w:r>
              <w:rPr>
                <w:rFonts w:ascii="宋体" w:hAnsi="宋体" w:eastAsia="宋体" w:cs="宋体"/>
                <w:b w:val="0"/>
                <w:color w:val="005997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98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94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本年收费金额（单位:万元）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198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594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（三）收到和处理政府信息公开申请情况</w:t>
      </w:r>
    </w:p>
    <w:tbl>
      <w:tblPr>
        <w:tblStyle w:val="5"/>
        <w:tblW w:w="8606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80"/>
        <w:gridCol w:w="1020"/>
        <w:gridCol w:w="1469"/>
        <w:gridCol w:w="600"/>
        <w:gridCol w:w="758"/>
        <w:gridCol w:w="756"/>
        <w:gridCol w:w="1070"/>
        <w:gridCol w:w="1070"/>
        <w:gridCol w:w="541"/>
        <w:gridCol w:w="542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37" w:type="dxa"/>
            <w:gridSpan w:val="7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195" w:type="dxa"/>
            <w:gridSpan w:val="5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542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b/>
                <w:color w:val="005997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color w:val="005997"/>
              </w:rPr>
            </w:pPr>
            <w:r>
              <w:rPr>
                <w:rFonts w:ascii="宋体" w:hAnsi="宋体" w:eastAsia="宋体" w:cs="宋体"/>
                <w:b/>
                <w:color w:val="005997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42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b/>
                <w:color w:val="005997"/>
                <w:sz w:val="24"/>
                <w:szCs w:val="24"/>
              </w:rPr>
            </w:pP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489" w:type="dxa"/>
            <w:gridSpan w:val="2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1、属于国家秘密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2、其他法律行政法规禁止公开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3、危及“三安全一稳定”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4、保护第三方合法权益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5、属于三类内部事务信息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6、属于四类过程性信息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7、属于行政执法案卷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8、属于行政查询事项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1、本机关不掌握相关政府信息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2、没有现成信息需要另行制作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3、补正后申请内容仍不明确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1、信访举报投诉诉求类申请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2、重复申请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3、要求提供公开出版物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4、无正当理由大量反复申请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5、要求行政机关确认或重新出具已获取信息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1、申请人无正当理由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2、申请人逾期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3、其他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3269" w:type="dxa"/>
            <w:gridSpan w:val="3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0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70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1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2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（四）政府信息公开行政复议、行政诉讼情况</w:t>
      </w:r>
    </w:p>
    <w:tbl>
      <w:tblPr>
        <w:tblStyle w:val="5"/>
        <w:tblW w:w="8606" w:type="dxa"/>
        <w:tblInd w:w="0" w:type="dxa"/>
        <w:tblBorders>
          <w:top w:val="single" w:color="DCE1E5" w:sz="6" w:space="0"/>
          <w:left w:val="single" w:color="DCE1E5" w:sz="6" w:space="0"/>
          <w:bottom w:val="single" w:color="DCE1E5" w:sz="6" w:space="0"/>
          <w:right w:val="single" w:color="DCE1E5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78"/>
        <w:gridCol w:w="579"/>
        <w:gridCol w:w="579"/>
        <w:gridCol w:w="579"/>
        <w:gridCol w:w="553"/>
        <w:gridCol w:w="579"/>
        <w:gridCol w:w="579"/>
        <w:gridCol w:w="579"/>
        <w:gridCol w:w="579"/>
        <w:gridCol w:w="553"/>
        <w:gridCol w:w="579"/>
        <w:gridCol w:w="579"/>
        <w:gridCol w:w="579"/>
        <w:gridCol w:w="579"/>
        <w:gridCol w:w="553"/>
      </w:tblGrid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2868" w:type="dxa"/>
            <w:gridSpan w:val="5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738" w:type="dxa"/>
            <w:gridSpan w:val="10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578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79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79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79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869" w:type="dxa"/>
            <w:gridSpan w:val="5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869" w:type="dxa"/>
            <w:gridSpan w:val="5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578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53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553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DCE1E5" w:sz="6" w:space="0"/>
            <w:left w:val="single" w:color="DCE1E5" w:sz="6" w:space="0"/>
            <w:bottom w:val="single" w:color="DCE1E5" w:sz="6" w:space="0"/>
            <w:right w:val="single" w:color="DCE1E5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50" w:type="dxa"/>
            <w:bottom w:w="75" w:type="dxa"/>
            <w:right w:w="150" w:type="dxa"/>
          </w:tblCellMar>
        </w:tblPrEx>
        <w:tc>
          <w:tcPr>
            <w:tcW w:w="578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single" w:color="DCE1E5" w:sz="6" w:space="0"/>
              <w:left w:val="single" w:color="DCE1E5" w:sz="6" w:space="0"/>
              <w:bottom w:val="single" w:color="DCE1E5" w:sz="6" w:space="0"/>
              <w:right w:val="single" w:color="DCE1E5" w:sz="6" w:space="0"/>
            </w:tcBorders>
            <w:shd w:val="clear" w:color="auto" w:fill="auto"/>
            <w:tcMar>
              <w:top w:w="150" w:type="dxa"/>
              <w:bottom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（五）存在的主要问题及改进情况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sz w:val="24"/>
          <w:szCs w:val="24"/>
        </w:rPr>
        <w:t>一是政务公开宣传形式较少。二是一些动态信息公布得还不够及时。在今后的工作中，我局将针对薄弱环节，采取切实有效措施认真加以解决，不断提高政务公开工作水平，积极做好如下几个方面： （一）加强学习宣传。探索建立更多生动有效的形式进行公开宣传，并认真组织学习贯彻落实中、省、市、区关于政务公开的相关文件，学以致用，进一步推动政府信息公开工作。积极组织人员向先进单位学习经验，不断健全我局政府信息公开方式。 （二）进一步完善各项工作制度。坚持及时公布和更新工作动态及部门信息，确保信息公开及时准确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225" w:afterAutospacing="0"/>
        <w:ind w:left="0" w:right="0"/>
        <w:jc w:val="center"/>
        <w:rPr>
          <w:rFonts w:hint="eastAsia" w:ascii="微软雅黑" w:hAnsi="微软雅黑" w:eastAsia="微软雅黑" w:cs="微软雅黑"/>
          <w:color w:val="1E7FD8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1E7FD8"/>
          <w:sz w:val="24"/>
          <w:szCs w:val="24"/>
        </w:rPr>
        <w:t>（六）其他需要报告的事项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宋体" w:hAnsi="宋体" w:eastAsia="宋体" w:cs="宋体"/>
          <w:sz w:val="24"/>
          <w:szCs w:val="24"/>
        </w:rPr>
        <w:t>无其他需要报告事项。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85B4A"/>
    <w:rsid w:val="5A8B706C"/>
    <w:rsid w:val="62D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2024-01-18T10:10:00Z</dcterms:created>
  <dc:creator>Administrator</dc:creator>
  <cp:lastModifiedBy>Administrator</cp:lastModifiedBy>
  <dcterms:modified xsi:type="dcterms:W3CDTF">2024-01-19T09:11:15Z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