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z w:val="27"/>
          <w:szCs w:val="27"/>
        </w:rPr>
      </w:pPr>
      <w:r>
        <w:rPr>
          <w:rFonts w:hint="eastAsia" w:ascii="宋体" w:hAnsi="宋体" w:eastAsia="宋体" w:cs="宋体"/>
          <w:b/>
          <w:sz w:val="27"/>
          <w:szCs w:val="27"/>
        </w:rPr>
        <w:t>县</w:t>
      </w:r>
      <w:r>
        <w:rPr>
          <w:rFonts w:hint="eastAsia" w:cs="宋体"/>
          <w:b/>
          <w:sz w:val="27"/>
          <w:szCs w:val="27"/>
          <w:lang w:eastAsia="zh-CN"/>
        </w:rPr>
        <w:t>乡村振兴局</w:t>
      </w:r>
      <w:r>
        <w:rPr>
          <w:rFonts w:hint="eastAsia" w:cs="宋体"/>
          <w:b/>
          <w:sz w:val="27"/>
          <w:szCs w:val="27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sz w:val="27"/>
          <w:szCs w:val="27"/>
        </w:rPr>
        <w:t>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（一）总体情况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根据《中华人民共和国政府信息公开条例》要求，现向社会公布陵水黎族自治县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年政府信息公开工作年度报告。 一、着力推进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巩固脱贫成果同乡村振兴有效衔接</w:t>
      </w:r>
      <w:r>
        <w:rPr>
          <w:rFonts w:hint="eastAsia" w:ascii="仿宋" w:hAnsi="仿宋" w:eastAsia="仿宋" w:cs="仿宋"/>
          <w:sz w:val="32"/>
          <w:szCs w:val="32"/>
        </w:rPr>
        <w:t>项目库、雨露计划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有关政府信息公开，积极回应社会关切，工作取得了明显成效。坚持以公开为常态，不公开为例外，进一步扩大政府信息公开覆盖面。 二、严格审查，精心落实。在公开政府信息过程中，及时明确了政府信息的公开属性，将政府信息分为主动公开、依申请公开、不予公开三类，严格按照保密法对政府信息逐条进行审核，确保公开的信息不涉密，涉密的信息不公开。 三、对我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年度发布信息进行统计，202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年度共发布政府公示公告共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条。其中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巩固脱贫成果同乡村振兴有效衔接</w:t>
      </w:r>
      <w:r>
        <w:rPr>
          <w:rFonts w:hint="eastAsia" w:ascii="仿宋" w:hAnsi="仿宋" w:eastAsia="仿宋" w:cs="仿宋"/>
          <w:sz w:val="32"/>
          <w:szCs w:val="32"/>
        </w:rPr>
        <w:t>项目库信息公开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>条、雨露计划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条。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</w:p>
    <w:tbl>
      <w:tblPr>
        <w:tblStyle w:val="4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C00000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C00000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C00000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C00000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C00000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FF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41"/>
                <w:tab w:val="center" w:pos="3655"/>
              </w:tabs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  <w:t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FF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FF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3984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1557"/>
        <w:gridCol w:w="4212"/>
        <w:gridCol w:w="709"/>
        <w:gridCol w:w="920"/>
        <w:gridCol w:w="920"/>
        <w:gridCol w:w="1346"/>
        <w:gridCol w:w="1346"/>
        <w:gridCol w:w="496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623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自然人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法人或其他组织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商业企业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科研机构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社会公益组织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法律服务机构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</w:t>
            </w:r>
          </w:p>
        </w:tc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三、本年度办理结果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（一）予以公开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（三）不予公开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1、属于国家秘密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2、其他法律行政法规禁止公开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3、危及“三安全一稳定”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4、保护第三方合法权益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5、属于三类内部事务信息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6、属于四类过程性信息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7、属于行政执法案卷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8、属于行政查询事项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（四）无法提供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1、本机关不掌握相关政府信息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2、没有现成信息需要另行制作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3、补正后申请内容仍不明确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（五）不予处理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1、信访举报投诉诉求类申请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2、重复申请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3、要求提供公开出版物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4、无正当理由大量反复申请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（六）其他处理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（七）总计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四、结转下年度继续办理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398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027"/>
        <w:gridCol w:w="1027"/>
        <w:gridCol w:w="1027"/>
        <w:gridCol w:w="554"/>
        <w:gridCol w:w="1027"/>
        <w:gridCol w:w="1027"/>
        <w:gridCol w:w="1027"/>
        <w:gridCol w:w="1027"/>
        <w:gridCol w:w="554"/>
        <w:gridCol w:w="1027"/>
        <w:gridCol w:w="1027"/>
        <w:gridCol w:w="1027"/>
        <w:gridCol w:w="1027"/>
        <w:gridCol w:w="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行政复议</w:t>
            </w:r>
          </w:p>
        </w:tc>
        <w:tc>
          <w:tcPr>
            <w:tcW w:w="932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未经复议直接起诉</w:t>
            </w:r>
          </w:p>
        </w:tc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p/>
    <w:sectPr>
      <w:pgSz w:w="16839" w:h="11907" w:orient="landscape"/>
      <w:pgMar w:top="1800" w:right="1440" w:bottom="1800" w:left="144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3180"/>
    <w:rsid w:val="1319542D"/>
    <w:rsid w:val="15A82236"/>
    <w:rsid w:val="330237A2"/>
    <w:rsid w:val="351C013E"/>
    <w:rsid w:val="3D114D1A"/>
    <w:rsid w:val="4AED57C5"/>
    <w:rsid w:val="539E7335"/>
    <w:rsid w:val="5E213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2023-01-30T08:13:52Z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