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3" w:lineRule="auto"/>
        <w:ind w:left="40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8586" w14:cap="flat" w14:cmpd="sng">
            <w14:solidFill>
              <w14:srgbClr w14:val="000000"/>
            </w14:solidFill>
            <w14:prstDash w14:val="solid"/>
            <w14:miter w14:val="0"/>
          </w14:textOutline>
        </w:rPr>
        <w:t>采购需求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91" w:line="220" w:lineRule="auto"/>
        <w:ind w:left="82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一、项目</w:t>
      </w:r>
      <w:r>
        <w:rPr>
          <w:rFonts w:ascii="宋体" w:hAnsi="宋体" w:eastAsia="宋体" w:cs="宋体"/>
          <w:spacing w:val="-5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宋体" w:hAnsi="宋体" w:eastAsia="宋体" w:cs="宋体"/>
          <w:spacing w:val="-4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称：陵水县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财政</w:t>
      </w:r>
      <w:r>
        <w:rPr>
          <w:rFonts w:ascii="宋体" w:hAnsi="宋体" w:eastAsia="宋体" w:cs="宋体"/>
          <w:spacing w:val="-4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局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UPS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不间断电源采购项目</w:t>
      </w:r>
    </w:p>
    <w:p>
      <w:pPr>
        <w:spacing w:before="290" w:line="219" w:lineRule="auto"/>
        <w:ind w:left="829"/>
        <w:outlineLvl w:val="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二、项目预算：</w:t>
      </w:r>
      <w:r>
        <w:rPr>
          <w:rFonts w:hint="eastAsia" w:ascii="宋体" w:hAnsi="宋体" w:eastAsia="宋体" w:cs="宋体"/>
          <w:spacing w:val="-2"/>
          <w:sz w:val="28"/>
          <w:szCs w:val="28"/>
          <w:highlight w:val="none"/>
          <w:lang w:eastAsia="zh-CN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不超过</w:t>
      </w:r>
      <w:r>
        <w:rPr>
          <w:rFonts w:ascii="宋体" w:hAnsi="宋体" w:eastAsia="宋体" w:cs="宋体"/>
          <w:color w:val="0000FF"/>
          <w:spacing w:val="-2"/>
          <w:sz w:val="28"/>
          <w:szCs w:val="28"/>
          <w:highlight w:val="none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宋体" w:hAnsi="宋体" w:eastAsia="宋体" w:cs="宋体"/>
          <w:color w:val="0000FF"/>
          <w:spacing w:val="-2"/>
          <w:sz w:val="28"/>
          <w:szCs w:val="28"/>
          <w:highlight w:val="none"/>
          <w:lang w:val="en-US" w:eastAsia="zh-CN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60000.</w:t>
      </w:r>
      <w:r>
        <w:rPr>
          <w:rFonts w:ascii="宋体" w:hAnsi="宋体" w:eastAsia="宋体" w:cs="宋体"/>
          <w:color w:val="0000FF"/>
          <w:spacing w:val="-2"/>
          <w:sz w:val="28"/>
          <w:szCs w:val="28"/>
          <w:highlight w:val="none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00</w:t>
      </w:r>
      <w:r>
        <w:rPr>
          <w:rFonts w:ascii="宋体" w:hAnsi="宋体" w:eastAsia="宋体" w:cs="宋体"/>
          <w:color w:val="0000FF"/>
          <w:spacing w:val="-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元</w:t>
      </w:r>
    </w:p>
    <w:p>
      <w:pPr>
        <w:spacing w:before="291" w:line="237" w:lineRule="auto"/>
        <w:ind w:left="824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三、采购品目</w:t>
      </w:r>
      <w:r>
        <w:rPr>
          <w:rFonts w:ascii="宋体" w:hAnsi="宋体" w:eastAsia="宋体" w:cs="宋体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名称、技术参数及要求</w:t>
      </w:r>
    </w:p>
    <w:p>
      <w:pPr>
        <w:spacing w:line="92" w:lineRule="exact"/>
      </w:pPr>
    </w:p>
    <w:tbl>
      <w:tblPr>
        <w:tblStyle w:val="4"/>
        <w:tblW w:w="10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49"/>
        <w:gridCol w:w="6525"/>
        <w:gridCol w:w="589"/>
        <w:gridCol w:w="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9" w:type="dxa"/>
          </w:tcPr>
          <w:p>
            <w:pPr>
              <w:spacing w:before="170" w:line="360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49" w:type="dxa"/>
          </w:tcPr>
          <w:p>
            <w:pPr>
              <w:spacing w:before="171" w:line="360" w:lineRule="auto"/>
              <w:ind w:left="4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6525" w:type="dxa"/>
          </w:tcPr>
          <w:p>
            <w:pPr>
              <w:spacing w:before="171" w:line="360" w:lineRule="auto"/>
              <w:ind w:left="24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技术参数要求</w:t>
            </w:r>
          </w:p>
        </w:tc>
        <w:tc>
          <w:tcPr>
            <w:tcW w:w="589" w:type="dxa"/>
          </w:tcPr>
          <w:p>
            <w:pPr>
              <w:spacing w:before="171" w:line="360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814" w:type="dxa"/>
          </w:tcPr>
          <w:p>
            <w:pPr>
              <w:spacing w:before="171" w:line="360" w:lineRule="auto"/>
              <w:ind w:left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09" w:type="dxa"/>
          </w:tcPr>
          <w:p>
            <w:pPr>
              <w:spacing w:before="232" w:line="360" w:lineRule="auto"/>
              <w:ind w:left="262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98"/>
                <w:position w:val="1"/>
                <w:sz w:val="9"/>
                <w:szCs w:val="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</w:p>
        </w:tc>
        <w:tc>
          <w:tcPr>
            <w:tcW w:w="1549" w:type="dxa"/>
          </w:tcPr>
          <w:p>
            <w:pPr>
              <w:spacing w:before="157" w:line="360" w:lineRule="auto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U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PS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部分</w:t>
            </w:r>
          </w:p>
        </w:tc>
        <w:tc>
          <w:tcPr>
            <w:tcW w:w="6525" w:type="dxa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589" w:type="dxa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814" w:type="dxa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709" w:type="dxa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1" w:line="360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49" w:type="dxa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2" w:line="360" w:lineRule="auto"/>
              <w:ind w:left="579" w:right="100" w:hanging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UPS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间断电源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主机</w:t>
            </w:r>
          </w:p>
        </w:tc>
        <w:tc>
          <w:tcPr>
            <w:tcW w:w="6525" w:type="dxa"/>
          </w:tcPr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★1.主机总容量： 20KVA以上纯在线式，兼容三进单出和三进三出，双变换UPS产品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2.输入额定电压：380Vac；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3.输入电压范围为100Vac -288 Vac（相电压）；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4.输入频率范围为：40Hz-70Hz；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5.输入功率因数： &gt;0.99(满载时)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★6.输出功率因数为1，并应提供公开可查的样本资料截图证明（原厂盖章）；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7.整流器要求：采用IGBT高频整流技术；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8.主机为机架式塔式兼容式设计，可放于桌面或者19英寸标准机架上；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9.市电电池切换时间：UPS在市电和电池两种状态间切换的时间应为0ms；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10.环境温度为：0℃--40℃； </w:t>
            </w:r>
          </w:p>
          <w:p>
            <w:pPr>
              <w:spacing w:line="303" w:lineRule="auto"/>
              <w:ind w:left="36" w:right="13" w:hanging="12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11.过载能力：过载105%-125% 运行5分钟，过载≤150%运行1分钟，大于150%运行200mS；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★12.UPS主机尺寸（机架安装时）应满足：宽度≤430mm，深度≤500mm，高度≤130mm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13.输出电压失真度：线性负载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3％，非线性负载＜5％；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14.输出电流峰值系数：UPS所允许最大非正弦波峰值电流与输出电流有效值之比≥3：1；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★15.市电模式下系统工作效率：≥96%，满足绿色电源和节能环保的要求。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16.要求支持软线并联运行方式，支持3+1并机，为避免电气插框的单点瓶颈故障，不得配置电气插框。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★17.UPS具有可编程端子，支持二次下电功能 </w:t>
            </w:r>
          </w:p>
          <w:p>
            <w:pPr>
              <w:spacing w:line="303" w:lineRule="auto"/>
              <w:ind w:left="36" w:right="13" w:hanging="12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 xml:space="preserve">★18.UPS具有灵活的电池配置方式，电池节数灵活可调，请投标人应答电池节数可调范围，并提供公开可查的样本资料截图证明（原厂盖章） </w:t>
            </w:r>
          </w:p>
          <w:p>
            <w:pPr>
              <w:spacing w:line="303" w:lineRule="auto"/>
              <w:ind w:left="36" w:right="13" w:hanging="12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★19.当配置原厂电池模块时，UPS可自动识别模块数量，并应能对剩余后备时间做出较精确的预测，预测精度不低于10%。应提供公开可查的样本资料截图证明（原厂盖章）</w:t>
            </w:r>
          </w:p>
          <w:p>
            <w:pPr>
              <w:numPr>
                <w:ilvl w:val="0"/>
                <w:numId w:val="0"/>
              </w:numPr>
              <w:spacing w:line="303" w:lineRule="auto"/>
              <w:ind w:left="24" w:leftChars="0" w:right="13" w:rightChars="0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20.UPS主机应标配干接点实现外部告警的功能，包括市电告警、UPS故障告警（内容包括UPS电池低电压告警和逆变故障告警等）等相关能反映UPS运行性能的告警，预警信息可实时通知管理员；</w:t>
            </w:r>
          </w:p>
          <w:p>
            <w:pPr>
              <w:spacing w:line="303" w:lineRule="auto"/>
              <w:ind w:left="36" w:right="13" w:hanging="12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zh-CN"/>
              </w:rPr>
              <w:t>21.为提高UPS主机可靠性，UPS应采用最新一代控制技术，并应采用领先的风道设计技术，降低UPS故障几率。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投标人应提供公开样板资料截图（原厂盖章）进行证明。</w:t>
            </w:r>
          </w:p>
          <w:p>
            <w:pPr>
              <w:spacing w:line="303" w:lineRule="auto"/>
              <w:ind w:left="36" w:right="13" w:hanging="12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22.UPS主机应标配SNMP网络管理功能，用户仅需使用标准网线连通UPS即可进行管理。同时，UPS的网络接口和SNMP协议可以免费开放。</w:t>
            </w:r>
          </w:p>
          <w:p>
            <w:pPr>
              <w:spacing w:line="303" w:lineRule="auto"/>
              <w:ind w:left="36" w:right="13" w:hanging="12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★23.为便于日常维护，UPS主机应提供4英寸以上大屏幕液晶显示；且LCD显示屏具有重力自适应功能，可以自动识别UPS的安装方式，无需手动旋转LCD屏幕。投标人应提供UPS照片和公开样板资料截图（原厂盖章）进行证明。</w:t>
            </w:r>
          </w:p>
          <w:p>
            <w:pPr>
              <w:spacing w:line="303" w:lineRule="auto"/>
              <w:ind w:left="36" w:right="13" w:hanging="12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★24.标人应提供泰尔测试报告复印件（原厂盖章）进行佐证，同时，投标产品应具有CQC节能认证和能源之星认证、抗震报告，并提供证书复印件（原厂盖章）。</w:t>
            </w:r>
          </w:p>
          <w:p>
            <w:pPr>
              <w:spacing w:line="303" w:lineRule="auto"/>
              <w:ind w:left="36" w:right="13" w:hanging="12"/>
              <w:rPr>
                <w:rFonts w:hint="default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★25.为满足后期使用，ups应满足可以进行软件升级。</w:t>
            </w:r>
          </w:p>
        </w:tc>
        <w:tc>
          <w:tcPr>
            <w:tcW w:w="589" w:type="dxa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2" w:line="360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814" w:type="dxa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1" w:line="360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</w:tbl>
    <w:p>
      <w:pPr>
        <w:spacing w:line="219" w:lineRule="exact"/>
        <w:rPr>
          <w:rFonts w:ascii="Arial"/>
          <w:sz w:val="18"/>
        </w:r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49"/>
        <w:gridCol w:w="6511"/>
        <w:gridCol w:w="603"/>
        <w:gridCol w:w="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09" w:type="dxa"/>
          </w:tcPr>
          <w:p>
            <w:pPr>
              <w:spacing w:before="236" w:line="190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</w:p>
        </w:tc>
        <w:tc>
          <w:tcPr>
            <w:tcW w:w="1549" w:type="dxa"/>
          </w:tcPr>
          <w:p>
            <w:pPr>
              <w:spacing w:before="199" w:line="229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电池部分</w:t>
            </w:r>
          </w:p>
        </w:tc>
        <w:tc>
          <w:tcPr>
            <w:tcW w:w="6511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8" w:hRule="atLeast"/>
        </w:trPr>
        <w:tc>
          <w:tcPr>
            <w:tcW w:w="709" w:type="dxa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spacing w:before="62" w:line="19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spacing w:before="62" w:line="19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spacing w:before="62" w:line="19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spacing w:before="62" w:line="19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spacing w:before="62" w:line="19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spacing w:before="62" w:line="19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spacing w:before="62" w:line="193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spacing w:before="62" w:line="19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49" w:type="dxa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458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spacing w:before="72" w:line="221" w:lineRule="auto"/>
              <w:ind w:left="458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spacing w:before="72" w:line="221" w:lineRule="auto"/>
              <w:ind w:left="458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spacing w:before="72" w:line="221" w:lineRule="auto"/>
              <w:ind w:left="458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spacing w:before="72" w:line="221" w:lineRule="auto"/>
              <w:ind w:left="458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spacing w:before="72" w:line="221" w:lineRule="auto"/>
              <w:ind w:left="458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spacing w:before="72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电池</w:t>
            </w:r>
          </w:p>
        </w:tc>
        <w:tc>
          <w:tcPr>
            <w:tcW w:w="6511" w:type="dxa"/>
          </w:tcPr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1.提供12V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Ah铅酸蓄电池，以10小时率容量标定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2.设计寿命：≥12年（25℃）。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3.为机房整体安全考虑，电池端子部位有防漏液的设计。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4.保证电池均一性，使用拉网极板生产工艺。自动化生产，均一性好，安全性高（充电时产生热量少），有效防止热失控现象。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5.蓄电池电槽外壳应采用持久耐用并具有足够强度的ABS材料（不接受PP材料电槽蓄电池）。要求符合UL94-V0级阻燃级别。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6.符合GB/T 2408-1996中FV-0(垂直级要求)，符合YD/T799-2010中第6.4条的要求。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7.自放电损失：每月小于3％。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8.蓄电池应采用单向排气阀，安全阀开阀压力在15-35Kpa，闭阀压力在10-30Kpa。安全阀中需安装有防酸雾装置蓄电池在正常工作中应无酸雾逸出。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9.★蓄电池密封反应效率不低于97%(出具满足该参数的国家认可的第三方权威机构检测报告复印件)。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10.大电流放电：蓄电池以30I10（A）放电3min，极柱应不熔断、内部汇流排应不熔断，其外观不得出现异常。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11.耐过充电能力：完全充电状态的电池0.3CA充电160小时,无漏液,无电池膨胀及破裂。静置1h，外观应无明显变形及渗液。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12.封口剂性能：蓄电池在-30℃～＋65℃时，封口剂应无裂纹及溢流现象。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13.气密性：蓄电池应能承受50kPa的正压或负压而不破裂、不开胶，压力释放后壳体无残余变形。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14.防酸雾性能：对完全充电的电池以0.2I10A的电流连续再充电4h,PH值应呈中性。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15.防爆性能：蓄电池在充电过程中遇到明火，内部应不引燃、不引爆。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16.蓄电池端电压的均衡性：单体蓄电池和由若干个单体组成一体的组合蓄电池，其各电池间的开路电压最高与最低差值应≤46mV；蓄电池进入浮充状态24h后,各蓄电池之间的端电压差应≤37mV。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17.电池间连接电压降:蓄电池之间的连接电压降应不大于25mV。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18.同组蓄电池的内阻偏差值应不超过11％。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19.★电池性能：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19.1热失控敏感性：蓄电池按《YD/T 799-2010 通信用阀控式密封铅酸蓄电池》7.20规定的方法试验，蓄电池温度应≤35℃，每24h的电流增长率应≤26％。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19.2过放电性能：蓄电池按《YD/T 799-2010 通信用阀控式密封铅酸蓄电池》7.21规定的方法试验，其容量恢复值应≥90％。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19.3再充电性能：蓄电池按《YD/T 799-2010 通信用阀控式密封铅酸蓄电池》7.24规定的方法试验，恒压充电24h的再充电能力因素应≥90％。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20.★功率一致性：同组蓄电池以P15额定功率试验时，最大放电时间与最小放电时间差值与放电时间平均值的比应≤8%。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21.为保证蓄电池的质量稳定性及一致性，蓄电池采用自制隔板。</w:t>
            </w:r>
          </w:p>
          <w:p>
            <w:pPr>
              <w:spacing w:line="303" w:lineRule="auto"/>
              <w:ind w:left="24" w:right="87" w:hanging="3"/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22.蓄电池循环耐久性测试≥500次。</w:t>
            </w:r>
          </w:p>
          <w:p>
            <w:pPr>
              <w:spacing w:line="303" w:lineRule="auto"/>
              <w:ind w:left="24" w:right="8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23.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★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产品必须通过国家认可的第三方权威机构认证，并提供第三方权威机构认证证书，和第三方权威机构检验报告复印件。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</w:t>
            </w:r>
          </w:p>
          <w:p>
            <w:pPr>
              <w:spacing w:line="303" w:lineRule="auto"/>
              <w:ind w:left="24" w:right="8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为确保售后服务质量及方便统一管理， 电池与 10</w:t>
            </w:r>
            <w:r>
              <w:rPr>
                <w:rFonts w:ascii="宋体" w:hAnsi="宋体" w:eastAsia="宋体" w:cs="宋体"/>
                <w:sz w:val="19"/>
                <w:szCs w:val="19"/>
              </w:rPr>
              <w:t>KVA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UPS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主机统一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品牌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；</w:t>
            </w:r>
          </w:p>
          <w:p>
            <w:pPr>
              <w:spacing w:line="311" w:lineRule="auto"/>
              <w:ind w:left="20" w:righ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8"/>
                <w:sz w:val="19"/>
                <w:szCs w:val="19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.★保证货物为原生产厂家生产、未经使用的全新合格产品，需提供原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产厂家针对本项目出具的原厂供货证明函及现场免费保修 3 年售后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务承诺函。</w:t>
            </w:r>
          </w:p>
        </w:tc>
        <w:tc>
          <w:tcPr>
            <w:tcW w:w="603" w:type="dxa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>
            <w:pPr>
              <w:spacing w:before="62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节</w:t>
            </w:r>
          </w:p>
        </w:tc>
        <w:tc>
          <w:tcPr>
            <w:tcW w:w="814" w:type="dxa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27"/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</w:p>
          <w:p>
            <w:pPr>
              <w:spacing w:before="62" w:line="191" w:lineRule="auto"/>
              <w:ind w:left="327"/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</w:p>
          <w:p>
            <w:pPr>
              <w:spacing w:before="62" w:line="191" w:lineRule="auto"/>
              <w:ind w:left="327"/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</w:p>
          <w:p>
            <w:pPr>
              <w:spacing w:before="62" w:line="191" w:lineRule="auto"/>
              <w:ind w:left="327"/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</w:p>
          <w:p>
            <w:pPr>
              <w:spacing w:before="62" w:line="191" w:lineRule="auto"/>
              <w:ind w:left="327"/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</w:p>
          <w:p>
            <w:pPr>
              <w:spacing w:before="62" w:line="191" w:lineRule="auto"/>
              <w:ind w:left="327"/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</w:p>
          <w:p>
            <w:pPr>
              <w:spacing w:before="62" w:line="191" w:lineRule="auto"/>
              <w:ind w:left="327"/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</w:pPr>
          </w:p>
          <w:p>
            <w:pPr>
              <w:spacing w:before="62" w:line="191" w:lineRule="auto"/>
              <w:ind w:left="32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100节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09" w:type="dxa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49" w:type="dxa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电池</w:t>
            </w:r>
            <w:r>
              <w:rPr>
                <w:rFonts w:ascii="宋体" w:hAnsi="宋体" w:eastAsia="宋体" w:cs="宋体"/>
                <w:sz w:val="19"/>
                <w:szCs w:val="19"/>
              </w:rPr>
              <w:t>柜</w:t>
            </w:r>
          </w:p>
        </w:tc>
        <w:tc>
          <w:tcPr>
            <w:tcW w:w="6511" w:type="dxa"/>
          </w:tcPr>
          <w:p>
            <w:pPr>
              <w:spacing w:before="214" w:line="303" w:lineRule="auto"/>
              <w:ind w:left="22" w:right="437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1.结构：组装式，根据现场条件定制，可放置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节 12</w:t>
            </w:r>
            <w:r>
              <w:rPr>
                <w:rFonts w:ascii="宋体" w:hAnsi="宋体" w:eastAsia="宋体" w:cs="宋体"/>
                <w:sz w:val="19"/>
                <w:szCs w:val="19"/>
              </w:rPr>
              <w:t>V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AH 电池；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.耐磨防蚀防锈；</w:t>
            </w:r>
          </w:p>
          <w:p>
            <w:pPr>
              <w:spacing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3.材质：半冷轧钢板或环保镀锌板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；</w:t>
            </w:r>
          </w:p>
          <w:p>
            <w:pPr>
              <w:spacing w:before="77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颜色：灰色或黑色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；</w:t>
            </w:r>
          </w:p>
        </w:tc>
        <w:tc>
          <w:tcPr>
            <w:tcW w:w="603" w:type="dxa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套</w:t>
            </w:r>
          </w:p>
        </w:tc>
        <w:tc>
          <w:tcPr>
            <w:tcW w:w="814" w:type="dxa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36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09" w:type="dxa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2" w:line="192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49" w:type="dxa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池连接套件</w:t>
            </w:r>
          </w:p>
        </w:tc>
        <w:tc>
          <w:tcPr>
            <w:tcW w:w="6511" w:type="dxa"/>
          </w:tcPr>
          <w:p>
            <w:pPr>
              <w:spacing w:before="193" w:line="315" w:lineRule="auto"/>
              <w:ind w:left="19" w:right="10" w:firstLine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电池连接线缆采用知名品牌，线径不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于 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平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eastAsia="zh-CN"/>
              </w:rPr>
              <w:t>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；线缆接线端需用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压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紧固。</w:t>
            </w:r>
          </w:p>
        </w:tc>
        <w:tc>
          <w:tcPr>
            <w:tcW w:w="603" w:type="dxa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814" w:type="dxa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2" w:line="193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9" w:type="dxa"/>
          </w:tcPr>
          <w:p>
            <w:pPr>
              <w:spacing w:before="254" w:line="253" w:lineRule="exact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</w:p>
        </w:tc>
        <w:tc>
          <w:tcPr>
            <w:tcW w:w="1549" w:type="dxa"/>
          </w:tcPr>
          <w:p>
            <w:pPr>
              <w:spacing w:before="253" w:line="230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安装费</w:t>
            </w:r>
          </w:p>
        </w:tc>
        <w:tc>
          <w:tcPr>
            <w:tcW w:w="6511" w:type="dxa"/>
            <w:vAlign w:val="center"/>
          </w:tcPr>
          <w:p>
            <w:pPr>
              <w:spacing w:before="97" w:line="266" w:lineRule="auto"/>
              <w:ind w:left="20" w:right="10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新蓄电池的上架、安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装，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KVA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UPS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主机的安装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>、相应办公室、设备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>ups线路安装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等</w:t>
            </w:r>
            <w:bookmarkStart w:id="0" w:name="_GoBack"/>
            <w:bookmarkEnd w:id="0"/>
          </w:p>
        </w:tc>
        <w:tc>
          <w:tcPr>
            <w:tcW w:w="603" w:type="dxa"/>
          </w:tcPr>
          <w:p>
            <w:pPr>
              <w:spacing w:before="253" w:line="230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814" w:type="dxa"/>
          </w:tcPr>
          <w:p>
            <w:pPr>
              <w:spacing w:before="284" w:line="193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9" w:type="dxa"/>
          </w:tcPr>
          <w:p>
            <w:pPr>
              <w:spacing w:before="161" w:line="232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</w:p>
        </w:tc>
        <w:tc>
          <w:tcPr>
            <w:tcW w:w="1549" w:type="dxa"/>
          </w:tcPr>
          <w:p>
            <w:pPr>
              <w:spacing w:before="161" w:line="230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调试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8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</w:t>
            </w:r>
          </w:p>
        </w:tc>
        <w:tc>
          <w:tcPr>
            <w:tcW w:w="6511" w:type="dxa"/>
          </w:tcPr>
          <w:p>
            <w:pPr>
              <w:spacing w:before="161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6"/>
                <w:sz w:val="19"/>
                <w:szCs w:val="19"/>
                <w:lang w:val="en-US" w:eastAsia="zh-CN"/>
              </w:rPr>
              <w:t>新安装1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 xml:space="preserve"> 套 UPS 系统调试</w:t>
            </w:r>
          </w:p>
        </w:tc>
        <w:tc>
          <w:tcPr>
            <w:tcW w:w="603" w:type="dxa"/>
          </w:tcPr>
          <w:p>
            <w:pPr>
              <w:spacing w:before="161" w:line="230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814" w:type="dxa"/>
          </w:tcPr>
          <w:p>
            <w:pPr>
              <w:spacing w:before="192" w:line="193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9"/>
          <w:pgMar w:top="1431" w:right="728" w:bottom="1256" w:left="986" w:header="0" w:footer="1038" w:gutter="0"/>
          <w:cols w:space="720" w:num="1"/>
        </w:sectPr>
      </w:pPr>
    </w:p>
    <w:p>
      <w:pPr>
        <w:spacing w:before="181" w:line="221" w:lineRule="auto"/>
        <w:ind w:left="51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宋体" w:hAnsi="宋体" w:eastAsia="宋体" w:cs="宋体"/>
          <w:spacing w:val="-5"/>
          <w:sz w:val="28"/>
          <w:szCs w:val="28"/>
          <w14:textOutline w14:w="549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、其他要求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75" w:line="229" w:lineRule="auto"/>
        <w:ind w:left="5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0"/>
          <w:sz w:val="23"/>
          <w:szCs w:val="23"/>
        </w:rPr>
        <w:t>(</w:t>
      </w:r>
      <w:r>
        <w:rPr>
          <w:rFonts w:ascii="宋体" w:hAnsi="宋体" w:eastAsia="宋体" w:cs="宋体"/>
          <w:spacing w:val="38"/>
          <w:sz w:val="23"/>
          <w:szCs w:val="23"/>
        </w:rPr>
        <w:t>一)质量保证</w:t>
      </w:r>
    </w:p>
    <w:p>
      <w:pPr>
        <w:spacing w:before="235" w:line="417" w:lineRule="auto"/>
        <w:ind w:left="24" w:right="173" w:firstLine="49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1</w:t>
      </w:r>
      <w:r>
        <w:rPr>
          <w:rFonts w:ascii="宋体" w:hAnsi="宋体" w:eastAsia="宋体" w:cs="宋体"/>
          <w:spacing w:val="7"/>
          <w:sz w:val="23"/>
          <w:szCs w:val="23"/>
        </w:rPr>
        <w:t>、所有货物必须是在中国范围内合法销售，原装、全新、并完全符合用户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要</w:t>
      </w:r>
      <w:r>
        <w:rPr>
          <w:rFonts w:ascii="宋体" w:hAnsi="宋体" w:eastAsia="宋体" w:cs="宋体"/>
          <w:spacing w:val="7"/>
          <w:sz w:val="23"/>
          <w:szCs w:val="23"/>
        </w:rPr>
        <w:t>求的产品，符合国家及该产品的出厂标准。</w:t>
      </w:r>
    </w:p>
    <w:p>
      <w:pPr>
        <w:spacing w:line="418" w:lineRule="auto"/>
        <w:ind w:left="50" w:firstLine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2、供应</w:t>
      </w:r>
      <w:r>
        <w:rPr>
          <w:rFonts w:ascii="宋体" w:hAnsi="宋体" w:eastAsia="宋体" w:cs="宋体"/>
          <w:spacing w:val="9"/>
          <w:sz w:val="23"/>
          <w:szCs w:val="23"/>
        </w:rPr>
        <w:t>商</w:t>
      </w:r>
      <w:r>
        <w:rPr>
          <w:rFonts w:ascii="宋体" w:hAnsi="宋体" w:eastAsia="宋体" w:cs="宋体"/>
          <w:spacing w:val="5"/>
          <w:sz w:val="23"/>
          <w:szCs w:val="23"/>
        </w:rPr>
        <w:t>应保证所提供的产品是合格安全的产品，一旦发现伪劣假冒产品、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以</w:t>
      </w:r>
      <w:r>
        <w:rPr>
          <w:rFonts w:ascii="宋体" w:hAnsi="宋体" w:eastAsia="宋体" w:cs="宋体"/>
          <w:spacing w:val="3"/>
          <w:sz w:val="23"/>
          <w:szCs w:val="23"/>
        </w:rPr>
        <w:t>次充好产品或替代产品，由供应商承担一切责任， 并赔偿所造成的损失。</w:t>
      </w:r>
    </w:p>
    <w:p>
      <w:pPr>
        <w:spacing w:line="228" w:lineRule="auto"/>
        <w:ind w:left="5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2"/>
          <w:sz w:val="23"/>
          <w:szCs w:val="23"/>
        </w:rPr>
        <w:t>(二)售后服务要</w:t>
      </w:r>
      <w:r>
        <w:rPr>
          <w:rFonts w:ascii="宋体" w:hAnsi="宋体" w:eastAsia="宋体" w:cs="宋体"/>
          <w:spacing w:val="31"/>
          <w:sz w:val="23"/>
          <w:szCs w:val="23"/>
        </w:rPr>
        <w:t>求</w:t>
      </w:r>
    </w:p>
    <w:p>
      <w:pPr>
        <w:spacing w:before="234" w:line="418" w:lineRule="auto"/>
        <w:ind w:left="23" w:right="116" w:firstLine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1、对采购人遇到的问题需在 8 小时内作出响应，24 小时内到达现场(</w:t>
      </w:r>
      <w:r>
        <w:rPr>
          <w:rFonts w:ascii="宋体" w:hAnsi="宋体" w:eastAsia="宋体" w:cs="宋体"/>
          <w:spacing w:val="3"/>
          <w:sz w:val="23"/>
          <w:szCs w:val="23"/>
        </w:rPr>
        <w:t>如</w:t>
      </w:r>
      <w:r>
        <w:rPr>
          <w:rFonts w:ascii="宋体" w:hAnsi="宋体" w:eastAsia="宋体" w:cs="宋体"/>
          <w:sz w:val="23"/>
          <w:szCs w:val="23"/>
        </w:rPr>
        <w:t xml:space="preserve">电 </w:t>
      </w:r>
      <w:r>
        <w:rPr>
          <w:rFonts w:ascii="宋体" w:hAnsi="宋体" w:eastAsia="宋体" w:cs="宋体"/>
          <w:spacing w:val="11"/>
          <w:sz w:val="23"/>
          <w:szCs w:val="23"/>
        </w:rPr>
        <w:t>话</w:t>
      </w:r>
      <w:r>
        <w:rPr>
          <w:rFonts w:ascii="宋体" w:hAnsi="宋体" w:eastAsia="宋体" w:cs="宋体"/>
          <w:spacing w:val="6"/>
          <w:sz w:val="23"/>
          <w:szCs w:val="23"/>
        </w:rPr>
        <w:t>及远程诊断无法解决) ，及时帮助用户解决问题。</w:t>
      </w:r>
    </w:p>
    <w:p>
      <w:pPr>
        <w:spacing w:line="417" w:lineRule="auto"/>
        <w:ind w:left="23" w:right="77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2、质保期自供货完毕并经验收合格之日起保修 3 年，出现故障时，免</w:t>
      </w:r>
      <w:r>
        <w:rPr>
          <w:rFonts w:ascii="宋体" w:hAnsi="宋体" w:eastAsia="宋体" w:cs="宋体"/>
          <w:spacing w:val="3"/>
          <w:sz w:val="23"/>
          <w:szCs w:val="23"/>
        </w:rPr>
        <w:t>费</w:t>
      </w:r>
      <w:r>
        <w:rPr>
          <w:rFonts w:ascii="宋体" w:hAnsi="宋体" w:eastAsia="宋体" w:cs="宋体"/>
          <w:sz w:val="23"/>
          <w:szCs w:val="23"/>
        </w:rPr>
        <w:t xml:space="preserve">提 </w:t>
      </w:r>
      <w:r>
        <w:rPr>
          <w:rFonts w:ascii="宋体" w:hAnsi="宋体" w:eastAsia="宋体" w:cs="宋体"/>
          <w:spacing w:val="9"/>
          <w:sz w:val="23"/>
          <w:szCs w:val="23"/>
        </w:rPr>
        <w:t>供</w:t>
      </w:r>
      <w:r>
        <w:rPr>
          <w:rFonts w:ascii="宋体" w:hAnsi="宋体" w:eastAsia="宋体" w:cs="宋体"/>
          <w:spacing w:val="7"/>
          <w:sz w:val="23"/>
          <w:szCs w:val="23"/>
        </w:rPr>
        <w:t>人员进行现场技术性维护，质保期间产品的一切质量问题，更换部件及产品本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身</w:t>
      </w:r>
      <w:r>
        <w:rPr>
          <w:rFonts w:ascii="宋体" w:hAnsi="宋体" w:eastAsia="宋体" w:cs="宋体"/>
          <w:spacing w:val="7"/>
          <w:sz w:val="23"/>
          <w:szCs w:val="23"/>
        </w:rPr>
        <w:t>质量原因造成的直接经济损失应全部由成交供应商自行负责，且须负责对其提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供的产品提供现场服务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pacing w:line="418" w:lineRule="auto"/>
        <w:ind w:left="24" w:right="80" w:firstLine="49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(三</w:t>
      </w:r>
      <w:r>
        <w:rPr>
          <w:rFonts w:ascii="宋体" w:hAnsi="宋体" w:eastAsia="宋体" w:cs="宋体"/>
          <w:spacing w:val="15"/>
          <w:sz w:val="23"/>
          <w:szCs w:val="23"/>
        </w:rPr>
        <w:t>)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验收标准：由采购人在指定地点对所购货物或者服务进行验收，验收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标</w:t>
      </w:r>
      <w:r>
        <w:rPr>
          <w:rFonts w:ascii="宋体" w:hAnsi="宋体" w:eastAsia="宋体" w:cs="宋体"/>
          <w:spacing w:val="10"/>
          <w:sz w:val="23"/>
          <w:szCs w:val="23"/>
        </w:rPr>
        <w:t>准</w:t>
      </w:r>
      <w:r>
        <w:rPr>
          <w:rFonts w:ascii="宋体" w:hAnsi="宋体" w:eastAsia="宋体" w:cs="宋体"/>
          <w:spacing w:val="7"/>
          <w:sz w:val="23"/>
          <w:szCs w:val="23"/>
        </w:rPr>
        <w:t>除采购要求的货物技术参数外，可溯源到国家相关标准。</w:t>
      </w:r>
    </w:p>
    <w:p>
      <w:pPr>
        <w:spacing w:before="1" w:line="422" w:lineRule="auto"/>
        <w:ind w:left="22" w:right="213" w:firstLine="48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(四) 交付</w:t>
      </w:r>
      <w:r>
        <w:rPr>
          <w:rFonts w:ascii="宋体" w:hAnsi="宋体" w:eastAsia="宋体" w:cs="宋体"/>
          <w:spacing w:val="2"/>
          <w:sz w:val="23"/>
          <w:szCs w:val="23"/>
        </w:rPr>
        <w:t>时间： 自合同签订之日起 15 个工作日内完成供货安装、调试、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验收工作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</w:p>
    <w:sectPr>
      <w:footerReference r:id="rId4" w:type="default"/>
      <w:pgSz w:w="11906" w:h="16839"/>
      <w:pgMar w:top="1431" w:right="1719" w:bottom="1256" w:left="1785" w:header="0" w:footer="103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919"/>
      <w:rPr>
        <w:rFonts w:ascii="Calibri" w:hAnsi="Calibri" w:eastAsia="Calibri" w:cs="Calibri"/>
        <w:sz w:val="23"/>
        <w:szCs w:val="23"/>
      </w:rPr>
    </w:pPr>
    <w:r>
      <w:rPr>
        <w:rFonts w:ascii="Calibri" w:hAnsi="Calibri" w:eastAsia="Calibri" w:cs="Calibri"/>
        <w:sz w:val="23"/>
        <w:szCs w:val="23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8"/>
      <w:rPr>
        <w:rFonts w:ascii="Calibri" w:hAnsi="Calibri" w:eastAsia="Calibri" w:cs="Calibri"/>
        <w:sz w:val="23"/>
        <w:szCs w:val="23"/>
      </w:rPr>
    </w:pPr>
    <w:r>
      <w:rPr>
        <w:rFonts w:ascii="Calibri" w:hAnsi="Calibri" w:eastAsia="Calibri" w:cs="Calibri"/>
        <w:sz w:val="23"/>
        <w:szCs w:val="23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D00F98"/>
    <w:rsid w:val="190755F9"/>
    <w:rsid w:val="28E62C13"/>
    <w:rsid w:val="438B6985"/>
    <w:rsid w:val="55CE1E92"/>
    <w:rsid w:val="71AF70C6"/>
    <w:rsid w:val="785E2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2706</Words>
  <Characters>3140</Characters>
  <Paragraphs>261</Paragraphs>
  <TotalTime>28</TotalTime>
  <ScaleCrop>false</ScaleCrop>
  <LinksUpToDate>false</LinksUpToDate>
  <CharactersWithSpaces>3232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2023-08-09T09:17:00Z</dcterms:created>
  <dc:creator>邓明芬</dc:creator>
  <cp:lastModifiedBy>符一芯</cp:lastModifiedBy>
  <cp:lastPrinted>2025-02-21T09:03:33Z</cp:lastPrinted>
  <dcterms:modified xsi:type="dcterms:W3CDTF">2025-02-21T09:13:49Z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2023-07-28T15:17:29Z</vt:filetime>
  </property>
  <property fmtid="{D5CDD505-2E9C-101B-9397-08002B2CF9AE}" pid="4" name="KSOProductBuildVer">
    <vt:lpwstr>2052-11.8.2.8411</vt:lpwstr>
  </property>
  <property fmtid="{D5CDD505-2E9C-101B-9397-08002B2CF9AE}" pid="5" name="ICV">
    <vt:lpwstr>F6248B50AA3D48A1B07CEE07FA82FFD0_13</vt:lpwstr>
  </property>
</Properties>
</file>