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26" w:beforeAutospacing="0" w:after="150" w:afterAutospacing="0" w:line="480" w:lineRule="atLeast"/>
        <w:ind w:right="0"/>
        <w:jc w:val="left"/>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附件1：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陵水黎族自治县自然资源和规划</w:t>
      </w:r>
      <w:r>
        <w:rPr>
          <w:rFonts w:hint="eastAsia" w:ascii="方正小标宋简体" w:hAnsi="方正小标宋简体" w:eastAsia="方正小标宋简体" w:cs="方正小标宋简体"/>
          <w:sz w:val="36"/>
          <w:szCs w:val="36"/>
        </w:rPr>
        <w:t>局公开选择评估机构</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承担采矿权</w:t>
      </w:r>
      <w:r>
        <w:rPr>
          <w:rFonts w:hint="eastAsia" w:ascii="方正小标宋简体" w:hAnsi="方正小标宋简体" w:eastAsia="方正小标宋简体" w:cs="方正小标宋简体"/>
          <w:sz w:val="36"/>
          <w:szCs w:val="36"/>
          <w:lang w:val="en-US" w:eastAsia="zh-CN"/>
        </w:rPr>
        <w:t>出让</w:t>
      </w:r>
      <w:r>
        <w:rPr>
          <w:rFonts w:hint="eastAsia" w:ascii="方正小标宋简体" w:hAnsi="方正小标宋简体" w:eastAsia="方正小标宋简体" w:cs="方正小标宋简体"/>
          <w:sz w:val="36"/>
          <w:szCs w:val="36"/>
        </w:rPr>
        <w:t>收益</w:t>
      </w:r>
      <w:r>
        <w:rPr>
          <w:rFonts w:hint="eastAsia" w:ascii="方正小标宋简体" w:hAnsi="方正小标宋简体" w:eastAsia="方正小标宋简体" w:cs="方正小标宋简体"/>
          <w:sz w:val="36"/>
          <w:szCs w:val="36"/>
          <w:lang w:val="en-US" w:eastAsia="zh-CN"/>
        </w:rPr>
        <w:t>评估</w:t>
      </w:r>
      <w:r>
        <w:rPr>
          <w:rFonts w:hint="eastAsia" w:ascii="方正小标宋简体" w:hAnsi="方正小标宋简体" w:eastAsia="方正小标宋简体" w:cs="方正小标宋简体"/>
          <w:sz w:val="36"/>
          <w:szCs w:val="36"/>
        </w:rPr>
        <w:t>项目</w:t>
      </w:r>
      <w:r>
        <w:rPr>
          <w:rFonts w:hint="eastAsia" w:ascii="方正小标宋简体" w:hAnsi="方正小标宋简体" w:eastAsia="方正小标宋简体" w:cs="方正小标宋简体"/>
          <w:sz w:val="36"/>
          <w:szCs w:val="36"/>
          <w:lang w:val="en-US" w:eastAsia="zh-CN"/>
        </w:rPr>
        <w:t>情况表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sz w:val="36"/>
          <w:szCs w:val="36"/>
          <w:lang w:val="en-US" w:eastAsia="zh-CN"/>
        </w:rPr>
      </w:pPr>
    </w:p>
    <w:tbl>
      <w:tblPr>
        <w:tblStyle w:val="4"/>
        <w:tblW w:w="912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3729"/>
        <w:gridCol w:w="1875"/>
        <w:gridCol w:w="1658"/>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jc w:val="center"/>
        </w:trPr>
        <w:tc>
          <w:tcPr>
            <w:tcW w:w="3729"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项目名称</w:t>
            </w:r>
          </w:p>
        </w:tc>
        <w:tc>
          <w:tcPr>
            <w:tcW w:w="1875"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开采矿种</w:t>
            </w:r>
          </w:p>
        </w:tc>
        <w:tc>
          <w:tcPr>
            <w:tcW w:w="1658"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登记类型</w:t>
            </w:r>
          </w:p>
        </w:tc>
        <w:tc>
          <w:tcPr>
            <w:tcW w:w="1863"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仿宋_GB2312" w:hAnsi="宋体" w:eastAsia="仿宋_GB2312" w:cs="仿宋_GB2312"/>
                <w:color w:val="2F2F2F"/>
                <w:sz w:val="27"/>
                <w:szCs w:val="27"/>
                <w:lang w:val="en-US" w:eastAsia="zh-CN"/>
              </w:rPr>
            </w:pPr>
            <w:r>
              <w:rPr>
                <w:rFonts w:hint="eastAsia" w:ascii="仿宋_GB2312" w:hAnsi="宋体" w:eastAsia="仿宋_GB2312" w:cs="仿宋_GB2312"/>
                <w:color w:val="2F2F2F"/>
                <w:sz w:val="27"/>
                <w:szCs w:val="27"/>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5" w:hRule="atLeast"/>
          <w:jc w:val="center"/>
        </w:trPr>
        <w:tc>
          <w:tcPr>
            <w:tcW w:w="3729"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仿宋_GB2312" w:hAnsi="宋体" w:eastAsia="仿宋_GB2312" w:cs="仿宋_GB2312"/>
                <w:color w:val="2F2F2F"/>
                <w:sz w:val="27"/>
                <w:szCs w:val="27"/>
                <w:lang w:val="en-US" w:eastAsia="zh-CN"/>
              </w:rPr>
            </w:pPr>
            <w:r>
              <w:rPr>
                <w:rFonts w:hint="eastAsia" w:ascii="仿宋_GB2312" w:hAnsi="仿宋_GB2312" w:eastAsia="仿宋_GB2312" w:cs="仿宋_GB2312"/>
                <w:color w:val="auto"/>
                <w:sz w:val="32"/>
                <w:szCs w:val="32"/>
                <w:lang w:val="en-US" w:eastAsia="zh-CN"/>
              </w:rPr>
              <w:t>陵水县南平农场建设队矿泉水采矿权</w:t>
            </w:r>
          </w:p>
        </w:tc>
        <w:tc>
          <w:tcPr>
            <w:tcW w:w="1875"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default" w:ascii="仿宋_GB2312" w:hAnsi="宋体" w:eastAsia="仿宋_GB2312" w:cs="仿宋_GB2312"/>
                <w:color w:val="2F2F2F"/>
                <w:sz w:val="27"/>
                <w:szCs w:val="27"/>
                <w:lang w:val="en-US" w:eastAsia="zh-CN"/>
              </w:rPr>
            </w:pPr>
            <w:r>
              <w:rPr>
                <w:rFonts w:hint="eastAsia" w:ascii="仿宋_GB2312" w:hAnsi="宋体" w:eastAsia="仿宋_GB2312" w:cs="仿宋_GB2312"/>
                <w:color w:val="2F2F2F"/>
                <w:sz w:val="27"/>
                <w:szCs w:val="27"/>
                <w:lang w:val="en-US" w:eastAsia="zh-CN"/>
              </w:rPr>
              <w:t>矿泉水</w:t>
            </w:r>
            <w:bookmarkStart w:id="0" w:name="_GoBack"/>
            <w:bookmarkEnd w:id="0"/>
          </w:p>
        </w:tc>
        <w:tc>
          <w:tcPr>
            <w:tcW w:w="1658"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lang w:eastAsia="zh-CN"/>
              </w:rPr>
            </w:pPr>
            <w:r>
              <w:rPr>
                <w:rFonts w:hint="eastAsia" w:ascii="仿宋_GB2312" w:hAnsi="宋体" w:eastAsia="仿宋_GB2312" w:cs="仿宋_GB2312"/>
                <w:color w:val="2F2F2F"/>
                <w:sz w:val="27"/>
                <w:szCs w:val="27"/>
                <w:lang w:val="en-US" w:eastAsia="zh-CN"/>
              </w:rPr>
              <w:t>新立</w:t>
            </w:r>
          </w:p>
        </w:tc>
        <w:tc>
          <w:tcPr>
            <w:tcW w:w="1863" w:type="dxa"/>
            <w:tcBorders>
              <w:tl2br w:val="nil"/>
              <w:tr2bl w:val="nil"/>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仿宋_GB2312" w:hAnsi="宋体" w:eastAsia="仿宋_GB2312" w:cs="仿宋_GB2312"/>
                <w:color w:val="2F2F2F"/>
                <w:sz w:val="27"/>
                <w:szCs w:val="27"/>
              </w:rPr>
            </w:pPr>
          </w:p>
        </w:tc>
      </w:tr>
    </w:tbl>
    <w:p>
      <w:pPr>
        <w:pStyle w:val="3"/>
        <w:keepNext w:val="0"/>
        <w:keepLines w:val="0"/>
        <w:widowControl/>
        <w:suppressLineNumbers w:val="0"/>
        <w:spacing w:before="226" w:beforeAutospacing="0" w:after="150" w:afterAutospacing="0" w:line="480" w:lineRule="atLeast"/>
        <w:ind w:left="0" w:right="0"/>
        <w:jc w:val="left"/>
        <w:rPr>
          <w:rFonts w:hint="eastAsia" w:ascii="宋体" w:hAnsi="宋体" w:eastAsia="宋体" w:cs="宋体"/>
          <w:color w:val="2F2F2F"/>
          <w:sz w:val="24"/>
          <w:szCs w:val="24"/>
        </w:rPr>
      </w:pPr>
      <w:r>
        <w:rPr>
          <w:rFonts w:hint="eastAsia" w:ascii="宋体" w:hAnsi="宋体" w:eastAsia="宋体" w:cs="宋体"/>
          <w:color w:val="2F2F2F"/>
          <w:sz w:val="24"/>
          <w:szCs w:val="24"/>
        </w:rPr>
        <w:t>　　</w:t>
      </w:r>
    </w:p>
    <w:p>
      <w:pPr>
        <w:rPr>
          <w:rFonts w:hint="eastAsia" w:ascii="仿宋_GB2312" w:hAnsi="宋体" w:eastAsia="仿宋_GB2312" w:cs="仿宋_GB2312"/>
          <w:color w:val="2F2F2F"/>
          <w:sz w:val="27"/>
          <w:szCs w:val="27"/>
        </w:rPr>
      </w:pPr>
      <w:r>
        <w:rPr>
          <w:rFonts w:hint="eastAsia" w:ascii="仿宋_GB2312" w:hAnsi="宋体" w:eastAsia="仿宋_GB2312" w:cs="仿宋_GB2312"/>
          <w:color w:val="2F2F2F"/>
          <w:sz w:val="27"/>
          <w:szCs w:val="27"/>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150" w:afterAutospacing="0" w:line="578" w:lineRule="exact"/>
        <w:ind w:left="0"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pStyle w:val="3"/>
        <w:keepNext w:val="0"/>
        <w:keepLines w:val="0"/>
        <w:widowControl/>
        <w:suppressLineNumbers w:val="0"/>
        <w:spacing w:before="226" w:beforeAutospacing="0" w:after="150" w:afterAutospacing="0" w:line="480" w:lineRule="atLeast"/>
        <w:ind w:left="0" w:right="0"/>
        <w:jc w:val="center"/>
        <w:rPr>
          <w:rFonts w:hint="eastAsia" w:ascii="宋体" w:hAnsi="宋体" w:eastAsia="宋体" w:cs="宋体"/>
          <w:color w:val="2F2F2F"/>
          <w:sz w:val="24"/>
          <w:szCs w:val="24"/>
        </w:rPr>
      </w:pPr>
      <w:r>
        <w:rPr>
          <w:rStyle w:val="6"/>
          <w:rFonts w:hint="eastAsia" w:ascii="仿宋_GB2312" w:hAnsi="宋体" w:eastAsia="仿宋_GB2312" w:cs="仿宋_GB2312"/>
          <w:color w:val="2F2F2F"/>
          <w:sz w:val="27"/>
          <w:szCs w:val="27"/>
        </w:rPr>
        <w:t>　</w:t>
      </w:r>
      <w:r>
        <w:rPr>
          <w:rStyle w:val="6"/>
          <w:rFonts w:hint="eastAsia" w:ascii="宋体" w:hAnsi="宋体" w:eastAsia="宋体" w:cs="宋体"/>
          <w:color w:val="2F2F2F"/>
          <w:sz w:val="30"/>
          <w:szCs w:val="30"/>
        </w:rPr>
        <w:t>　评估机构报名表</w:t>
      </w:r>
    </w:p>
    <w:tbl>
      <w:tblPr>
        <w:tblStyle w:val="4"/>
        <w:tblW w:w="929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78"/>
        <w:gridCol w:w="1513"/>
        <w:gridCol w:w="751"/>
        <w:gridCol w:w="1753"/>
        <w:gridCol w:w="363"/>
        <w:gridCol w:w="949"/>
        <w:gridCol w:w="128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2678"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评估机构名称</w:t>
            </w:r>
          </w:p>
        </w:tc>
        <w:tc>
          <w:tcPr>
            <w:tcW w:w="6616" w:type="dxa"/>
            <w:gridSpan w:val="6"/>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88" w:hRule="atLeast"/>
        </w:trPr>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评估机构资格证号</w:t>
            </w:r>
          </w:p>
        </w:tc>
        <w:tc>
          <w:tcPr>
            <w:tcW w:w="6616" w:type="dxa"/>
            <w:gridSpan w:val="6"/>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评估机构地址</w:t>
            </w:r>
          </w:p>
        </w:tc>
        <w:tc>
          <w:tcPr>
            <w:tcW w:w="6616" w:type="dxa"/>
            <w:gridSpan w:val="6"/>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联系人</w:t>
            </w:r>
          </w:p>
        </w:tc>
        <w:tc>
          <w:tcPr>
            <w:tcW w:w="226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116"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联系电话</w:t>
            </w:r>
          </w:p>
        </w:tc>
        <w:tc>
          <w:tcPr>
            <w:tcW w:w="2236"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参加竞选的</w:t>
            </w:r>
          </w:p>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评估项目名称</w:t>
            </w:r>
          </w:p>
        </w:tc>
        <w:tc>
          <w:tcPr>
            <w:tcW w:w="6616" w:type="dxa"/>
            <w:gridSpan w:val="6"/>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9294" w:type="dxa"/>
            <w:gridSpan w:val="7"/>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参评该项目的执业矿业权评估师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姓名</w:t>
            </w:r>
          </w:p>
        </w:tc>
        <w:tc>
          <w:tcPr>
            <w:tcW w:w="226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306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执业资格证书编号</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专业</w:t>
            </w:r>
          </w:p>
        </w:tc>
        <w:tc>
          <w:tcPr>
            <w:tcW w:w="226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306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是否以矿业权评估师的身份评估过该类矿种</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该评估师从业年限</w:t>
            </w:r>
          </w:p>
        </w:tc>
        <w:tc>
          <w:tcPr>
            <w:tcW w:w="6616" w:type="dxa"/>
            <w:gridSpan w:val="6"/>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9294" w:type="dxa"/>
            <w:gridSpan w:val="7"/>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主要评估人员构成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姓名</w:t>
            </w: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专业背景</w:t>
            </w: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具备何种职业资格</w:t>
            </w: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225" w:beforeAutospacing="0" w:line="480" w:lineRule="atLeast"/>
              <w:jc w:val="center"/>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证书编号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9" w:hRule="atLeast"/>
        </w:trPr>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04"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2599"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678"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513"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751"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753"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363"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949"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c>
          <w:tcPr>
            <w:tcW w:w="1287" w:type="dxa"/>
            <w:tcBorders>
              <w:top w:val="single" w:color="FFFFFF" w:sz="6" w:space="0"/>
              <w:left w:val="single" w:color="FFFFFF" w:sz="6" w:space="0"/>
              <w:bottom w:val="single" w:color="FFFFFF" w:sz="6" w:space="0"/>
              <w:right w:val="single" w:color="FFFFFF"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微软雅黑" w:hAnsi="微软雅黑" w:eastAsia="微软雅黑" w:cs="微软雅黑"/>
                <w:color w:val="505050"/>
                <w:sz w:val="22"/>
                <w:szCs w:val="22"/>
              </w:rPr>
            </w:pPr>
          </w:p>
        </w:tc>
      </w:tr>
    </w:tbl>
    <w:p>
      <w:pPr>
        <w:pStyle w:val="3"/>
        <w:keepNext w:val="0"/>
        <w:keepLines w:val="0"/>
        <w:widowControl/>
        <w:suppressLineNumbers w:val="0"/>
        <w:spacing w:before="226" w:beforeAutospacing="0" w:after="150" w:afterAutospacing="0" w:line="480" w:lineRule="atLeast"/>
        <w:ind w:left="0" w:right="0"/>
        <w:jc w:val="left"/>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　　注：</w:t>
      </w:r>
      <w:r>
        <w:rPr>
          <w:rFonts w:hint="eastAsia" w:ascii="仿宋_GB2312" w:hAnsi="宋体" w:eastAsia="仿宋_GB2312" w:cs="仿宋_GB2312"/>
          <w:color w:val="2F2F2F"/>
          <w:sz w:val="27"/>
          <w:szCs w:val="27"/>
          <w:lang w:val="en-US" w:eastAsia="zh-CN"/>
        </w:rPr>
        <w:t>提交报名表时，</w:t>
      </w:r>
      <w:r>
        <w:rPr>
          <w:rFonts w:hint="eastAsia" w:ascii="仿宋_GB2312" w:hAnsi="宋体" w:eastAsia="仿宋_GB2312" w:cs="仿宋_GB2312"/>
          <w:color w:val="2F2F2F"/>
          <w:sz w:val="27"/>
          <w:szCs w:val="27"/>
        </w:rPr>
        <w:t>必须提交填写该表的相应复印件</w:t>
      </w:r>
    </w:p>
    <w:p>
      <w:pPr>
        <w:pStyle w:val="3"/>
        <w:keepNext w:val="0"/>
        <w:keepLines w:val="0"/>
        <w:widowControl/>
        <w:suppressLineNumbers w:val="0"/>
        <w:spacing w:before="226" w:beforeAutospacing="0" w:after="150" w:afterAutospacing="0" w:line="480" w:lineRule="atLeast"/>
        <w:ind w:left="0" w:right="0"/>
        <w:jc w:val="right"/>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评估机构盖章</w:t>
      </w:r>
    </w:p>
    <w:p>
      <w:pPr>
        <w:pStyle w:val="3"/>
        <w:keepNext w:val="0"/>
        <w:keepLines w:val="0"/>
        <w:widowControl/>
        <w:suppressLineNumbers w:val="0"/>
        <w:spacing w:before="226" w:beforeAutospacing="0" w:after="150" w:afterAutospacing="0" w:line="480" w:lineRule="atLeast"/>
        <w:ind w:left="0" w:right="0"/>
        <w:jc w:val="right"/>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　　202</w:t>
      </w:r>
      <w:r>
        <w:rPr>
          <w:rFonts w:hint="eastAsia" w:ascii="仿宋_GB2312" w:hAnsi="宋体" w:eastAsia="仿宋_GB2312" w:cs="仿宋_GB2312"/>
          <w:color w:val="2F2F2F"/>
          <w:sz w:val="27"/>
          <w:szCs w:val="27"/>
          <w:lang w:val="en-US" w:eastAsia="zh-CN"/>
        </w:rPr>
        <w:t>4</w:t>
      </w:r>
      <w:r>
        <w:rPr>
          <w:rFonts w:hint="eastAsia" w:ascii="仿宋_GB2312" w:hAnsi="宋体" w:eastAsia="仿宋_GB2312" w:cs="仿宋_GB2312"/>
          <w:color w:val="2F2F2F"/>
          <w:sz w:val="27"/>
          <w:szCs w:val="27"/>
        </w:rPr>
        <w:t>年  月  日</w:t>
      </w:r>
    </w:p>
    <w:p>
      <w:pPr>
        <w:rPr>
          <w:rFonts w:hint="eastAsia" w:ascii="仿宋_GB2312" w:hAnsi="宋体" w:eastAsia="仿宋_GB2312" w:cs="仿宋_GB2312"/>
          <w:color w:val="2F2F2F"/>
          <w:sz w:val="27"/>
          <w:szCs w:val="27"/>
        </w:rPr>
      </w:pPr>
      <w:r>
        <w:rPr>
          <w:rFonts w:hint="eastAsia" w:ascii="仿宋_GB2312" w:hAnsi="宋体" w:eastAsia="仿宋_GB2312" w:cs="仿宋_GB2312"/>
          <w:color w:val="2F2F2F"/>
          <w:sz w:val="27"/>
          <w:szCs w:val="27"/>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150" w:afterAutospacing="0" w:line="520" w:lineRule="exact"/>
        <w:ind w:left="0" w:right="0"/>
        <w:textAlignment w:val="auto"/>
        <w:rPr>
          <w:rFonts w:hint="eastAsia" w:ascii="宋体" w:hAnsi="宋体" w:eastAsia="仿宋_GB2312" w:cs="宋体"/>
          <w:color w:val="2F2F2F"/>
          <w:sz w:val="24"/>
          <w:szCs w:val="24"/>
          <w:lang w:eastAsia="zh-CN"/>
        </w:rPr>
      </w:pPr>
      <w:r>
        <w:rPr>
          <w:rFonts w:hint="eastAsia" w:ascii="仿宋_GB2312" w:hAnsi="宋体" w:eastAsia="仿宋_GB2312" w:cs="仿宋_GB2312"/>
          <w:color w:val="2F2F2F"/>
          <w:sz w:val="27"/>
          <w:szCs w:val="27"/>
        </w:rPr>
        <w:t>附件</w:t>
      </w:r>
      <w:r>
        <w:rPr>
          <w:rFonts w:hint="eastAsia" w:ascii="仿宋_GB2312" w:hAnsi="宋体" w:eastAsia="仿宋_GB2312" w:cs="仿宋_GB2312"/>
          <w:color w:val="2F2F2F"/>
          <w:sz w:val="27"/>
          <w:szCs w:val="27"/>
          <w:lang w:val="en-US" w:eastAsia="zh-CN"/>
        </w:rPr>
        <w:t>3</w:t>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150" w:afterAutospacing="0" w:line="520" w:lineRule="exact"/>
        <w:ind w:left="0" w:right="0"/>
        <w:jc w:val="center"/>
        <w:textAlignment w:val="auto"/>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　</w:t>
      </w:r>
      <w:r>
        <w:rPr>
          <w:rFonts w:hint="eastAsia" w:ascii="宋体" w:hAnsi="宋体" w:eastAsia="宋体" w:cs="宋体"/>
          <w:color w:val="2F2F2F"/>
          <w:sz w:val="36"/>
          <w:szCs w:val="36"/>
        </w:rPr>
        <w:t>　 </w:t>
      </w:r>
      <w:r>
        <w:rPr>
          <w:rFonts w:hint="eastAsia" w:ascii="宋体" w:hAnsi="宋体" w:eastAsia="宋体" w:cs="宋体"/>
          <w:color w:val="2F2F2F"/>
          <w:sz w:val="36"/>
          <w:szCs w:val="36"/>
          <w:u w:val="single"/>
        </w:rPr>
        <w:t>（评估公司或事务所）文件  </w:t>
      </w:r>
      <w:r>
        <w:rPr>
          <w:rFonts w:hint="eastAsia" w:ascii="宋体" w:hAnsi="宋体" w:eastAsia="宋体" w:cs="宋体"/>
          <w:color w:val="2F2F2F"/>
          <w:sz w:val="36"/>
          <w:szCs w:val="36"/>
        </w:rPr>
        <w:t>   </w:t>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150" w:afterAutospacing="0" w:line="520" w:lineRule="exact"/>
        <w:ind w:left="0" w:right="0"/>
        <w:textAlignment w:val="auto"/>
        <w:rPr>
          <w:rFonts w:hint="eastAsia" w:ascii="宋体" w:hAnsi="宋体" w:eastAsia="宋体" w:cs="宋体"/>
          <w:color w:val="2F2F2F"/>
          <w:sz w:val="24"/>
          <w:szCs w:val="24"/>
        </w:rPr>
      </w:pPr>
      <w:r>
        <w:rPr>
          <w:rFonts w:hint="eastAsia" w:ascii="仿宋_GB2312" w:hAnsi="宋体" w:eastAsia="仿宋_GB2312" w:cs="仿宋_GB2312"/>
          <w:color w:val="2F2F2F"/>
          <w:sz w:val="27"/>
          <w:szCs w:val="27"/>
        </w:rPr>
        <w:t xml:space="preserve">                            （函号）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关于参加陵水县南平农场建设队矿泉水采矿权出让收益评估项目公开选择评估机构的承诺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陵水黎族自治县自然资源和规划局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根据《陵水黎族自治县自然资源和规划局关于陵水县南平农场建设队矿泉水采矿权出让收益项目的询价公告》，我单位符合</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所要求的条件，现郑重承诺：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1、本次呈报的各项评估申请资料真实、可靠，并为提供的资料承担相应责任；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2、本单位及拟承担评估项目的评估师近两年内没有受到行政处罚或自律惩戒；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3、与所申报的项目无任何利害关系；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4、参与评估的评估人员组成中包括地质类、采（选）矿类、经济类专业，主要评估师执业年限均不少于3年且参与评估过</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矿的采矿权出让收益评估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承诺人：（矿业权评估机构印章）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color w:val="auto"/>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color w:val="auto"/>
          <w:sz w:val="32"/>
          <w:szCs w:val="32"/>
          <w:lang w:val="en-US" w:eastAsia="zh-CN"/>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150" w:afterAutospacing="0" w:line="520" w:lineRule="exact"/>
        <w:ind w:left="0" w:right="0"/>
        <w:textAlignment w:val="auto"/>
        <w:rPr>
          <w:rFonts w:hint="eastAsia" w:ascii="宋体" w:hAnsi="宋体" w:eastAsia="仿宋_GB2312" w:cs="宋体"/>
          <w:color w:val="2F2F2F"/>
          <w:sz w:val="24"/>
          <w:szCs w:val="24"/>
          <w:lang w:val="en-US" w:eastAsia="zh-CN"/>
        </w:rPr>
      </w:pPr>
      <w:r>
        <w:rPr>
          <w:rFonts w:hint="eastAsia" w:ascii="仿宋_GB2312" w:hAnsi="宋体" w:eastAsia="仿宋_GB2312" w:cs="仿宋_GB2312"/>
          <w:color w:val="2F2F2F"/>
          <w:sz w:val="27"/>
          <w:szCs w:val="27"/>
        </w:rPr>
        <w:t>附件</w:t>
      </w:r>
      <w:r>
        <w:rPr>
          <w:rFonts w:hint="eastAsia" w:ascii="仿宋_GB2312" w:hAnsi="宋体" w:eastAsia="仿宋_GB2312" w:cs="仿宋_GB2312"/>
          <w:color w:val="2F2F2F"/>
          <w:sz w:val="27"/>
          <w:szCs w:val="27"/>
          <w:lang w:val="en-US" w:eastAsia="zh-CN"/>
        </w:rPr>
        <w:t>4</w:t>
      </w:r>
    </w:p>
    <w:p>
      <w:pPr>
        <w:adjustRightInd w:val="0"/>
        <w:snapToGrid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采矿权出让收益评估报告编制项目报名材料评分表</w:t>
      </w:r>
    </w:p>
    <w:p>
      <w:pPr>
        <w:widowControl w:val="0"/>
        <w:ind w:firstLine="420" w:firstLineChars="200"/>
        <w:jc w:val="both"/>
        <w:rPr>
          <w:rFonts w:hint="eastAsia" w:ascii="仿宋_GB2312" w:hAnsi="仿宋_GB2312" w:eastAsia="仿宋_GB2312" w:cs="仿宋_GB2312"/>
          <w:color w:val="auto"/>
          <w:kern w:val="2"/>
          <w:sz w:val="21"/>
          <w:szCs w:val="21"/>
          <w:lang w:val="en-US" w:eastAsia="zh-CN" w:bidi="ar-S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1559"/>
        <w:gridCol w:w="992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4"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序号</w:t>
            </w:r>
          </w:p>
        </w:tc>
        <w:tc>
          <w:tcPr>
            <w:tcW w:w="1134" w:type="dxa"/>
            <w:noWrap w:val="0"/>
            <w:vAlign w:val="center"/>
          </w:tcPr>
          <w:p>
            <w:pPr>
              <w:adjustRightInd w:val="0"/>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rPr>
              <w:t>类别</w:t>
            </w:r>
          </w:p>
        </w:tc>
        <w:tc>
          <w:tcPr>
            <w:tcW w:w="1559"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评分要求</w:t>
            </w:r>
          </w:p>
        </w:tc>
        <w:tc>
          <w:tcPr>
            <w:tcW w:w="9925"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评分标准</w:t>
            </w:r>
          </w:p>
        </w:tc>
        <w:tc>
          <w:tcPr>
            <w:tcW w:w="882"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74" w:type="dxa"/>
            <w:noWrap w:val="0"/>
            <w:vAlign w:val="center"/>
          </w:tcPr>
          <w:p>
            <w:pPr>
              <w:adjustRightInd w:val="0"/>
              <w:snapToGrid w:val="0"/>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1</w:t>
            </w:r>
          </w:p>
        </w:tc>
        <w:tc>
          <w:tcPr>
            <w:tcW w:w="1134" w:type="dxa"/>
            <w:vMerge w:val="restart"/>
            <w:noWrap w:val="0"/>
            <w:vAlign w:val="center"/>
          </w:tcPr>
          <w:p>
            <w:pPr>
              <w:adjustRightInd w:val="0"/>
              <w:snapToGrid w:val="0"/>
              <w:jc w:val="center"/>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商务部分（55分）</w:t>
            </w:r>
          </w:p>
        </w:tc>
        <w:tc>
          <w:tcPr>
            <w:tcW w:w="1559" w:type="dxa"/>
            <w:noWrap w:val="0"/>
            <w:vAlign w:val="center"/>
          </w:tcPr>
          <w:p>
            <w:pPr>
              <w:adjustRightInd w:val="0"/>
              <w:snapToGrid w:val="0"/>
              <w:jc w:val="center"/>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公司资质（20分）</w:t>
            </w:r>
          </w:p>
        </w:tc>
        <w:tc>
          <w:tcPr>
            <w:tcW w:w="9925" w:type="dxa"/>
            <w:noWrap w:val="0"/>
            <w:vAlign w:val="center"/>
          </w:tcPr>
          <w:p>
            <w:pPr>
              <w:adjustRightInd w:val="0"/>
              <w:snapToGrid w:val="0"/>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提供自然资源部（原国土资源部）颁发的有效的矿业权评估资格证书。得</w:t>
            </w:r>
            <w:r>
              <w:rPr>
                <w:rFonts w:hint="eastAsia" w:ascii="宋体" w:hAnsi="宋体" w:eastAsia="宋体" w:cs="Times New Roman"/>
                <w:szCs w:val="21"/>
                <w:shd w:val="clear" w:color="auto" w:fill="FFFFFF"/>
                <w:lang w:val="en-US" w:eastAsia="zh-CN"/>
              </w:rPr>
              <w:t>20</w:t>
            </w:r>
            <w:r>
              <w:rPr>
                <w:rFonts w:hint="eastAsia" w:ascii="宋体" w:hAnsi="宋体" w:eastAsia="宋体" w:cs="Times New Roman"/>
                <w:szCs w:val="21"/>
                <w:shd w:val="clear" w:color="auto" w:fill="FFFFFF"/>
              </w:rPr>
              <w:t>分。证明材料：</w:t>
            </w:r>
            <w:r>
              <w:rPr>
                <w:rFonts w:ascii="Times New Roman" w:hAnsi="Times New Roman" w:eastAsia="宋体" w:cs="Times New Roman"/>
                <w:szCs w:val="21"/>
              </w:rPr>
              <w:t>提供复印件并加盖公章</w:t>
            </w:r>
            <w:r>
              <w:rPr>
                <w:rFonts w:hint="eastAsia" w:ascii="Times New Roman" w:hAnsi="Times New Roman" w:eastAsia="宋体" w:cs="Times New Roman"/>
                <w:szCs w:val="21"/>
                <w:lang w:eastAsia="zh-CN"/>
              </w:rPr>
              <w:t>。</w:t>
            </w:r>
          </w:p>
        </w:tc>
        <w:tc>
          <w:tcPr>
            <w:tcW w:w="882" w:type="dxa"/>
            <w:noWrap w:val="0"/>
            <w:vAlign w:val="center"/>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adjustRightInd w:val="0"/>
              <w:snapToGrid w:val="0"/>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2</w:t>
            </w:r>
          </w:p>
        </w:tc>
        <w:tc>
          <w:tcPr>
            <w:tcW w:w="1134" w:type="dxa"/>
            <w:vMerge w:val="continue"/>
            <w:noWrap w:val="0"/>
            <w:vAlign w:val="center"/>
          </w:tcPr>
          <w:p>
            <w:pPr>
              <w:adjustRightInd w:val="0"/>
              <w:snapToGrid w:val="0"/>
              <w:jc w:val="center"/>
              <w:rPr>
                <w:rFonts w:ascii="宋体" w:hAnsi="宋体" w:eastAsia="宋体" w:cs="Times New Roman"/>
                <w:szCs w:val="21"/>
                <w:shd w:val="clear" w:color="auto" w:fill="FFFFFF"/>
              </w:rPr>
            </w:pPr>
          </w:p>
        </w:tc>
        <w:tc>
          <w:tcPr>
            <w:tcW w:w="1559" w:type="dxa"/>
            <w:noWrap w:val="0"/>
            <w:vAlign w:val="center"/>
          </w:tcPr>
          <w:p>
            <w:pPr>
              <w:adjustRightInd w:val="0"/>
              <w:snapToGrid w:val="0"/>
              <w:jc w:val="center"/>
              <w:rPr>
                <w:rFonts w:ascii="Times New Roman" w:hAnsi="Times New Roman" w:eastAsia="宋体" w:cs="Times New Roman"/>
                <w:szCs w:val="22"/>
              </w:rPr>
            </w:pPr>
            <w:r>
              <w:rPr>
                <w:rFonts w:ascii="宋体" w:hAnsi="宋体" w:eastAsia="宋体" w:cs="Times New Roman"/>
                <w:szCs w:val="21"/>
                <w:shd w:val="clear" w:color="auto" w:fill="FFFFFF"/>
              </w:rPr>
              <w:t>项目负责人</w:t>
            </w:r>
            <w:r>
              <w:rPr>
                <w:rFonts w:hint="eastAsia" w:ascii="宋体" w:hAnsi="宋体" w:eastAsia="宋体" w:cs="Times New Roman"/>
                <w:szCs w:val="21"/>
                <w:shd w:val="clear" w:color="auto" w:fill="FFFFFF"/>
              </w:rPr>
              <w:t>（10分）</w:t>
            </w:r>
          </w:p>
        </w:tc>
        <w:tc>
          <w:tcPr>
            <w:tcW w:w="9925" w:type="dxa"/>
            <w:noWrap w:val="0"/>
            <w:vAlign w:val="center"/>
          </w:tcPr>
          <w:p>
            <w:pPr>
              <w:adjustRightInd w:val="0"/>
              <w:snapToGrid w:val="0"/>
              <w:jc w:val="left"/>
              <w:rPr>
                <w:rFonts w:hint="eastAsia" w:ascii="宋体" w:hAnsi="宋体" w:eastAsia="宋体" w:cs="宋体"/>
                <w:kern w:val="0"/>
                <w:szCs w:val="22"/>
              </w:rPr>
            </w:pPr>
            <w:r>
              <w:rPr>
                <w:rFonts w:hint="eastAsia" w:ascii="宋体" w:hAnsi="宋体" w:eastAsia="宋体" w:cs="宋体"/>
                <w:kern w:val="0"/>
                <w:szCs w:val="22"/>
              </w:rPr>
              <w:t>拟派项目负责人：</w:t>
            </w:r>
          </w:p>
          <w:p>
            <w:pPr>
              <w:adjustRightInd w:val="0"/>
              <w:snapToGrid w:val="0"/>
              <w:jc w:val="left"/>
              <w:rPr>
                <w:rFonts w:ascii="宋体" w:hAnsi="宋体" w:eastAsia="宋体" w:cs="Times New Roman"/>
                <w:szCs w:val="21"/>
                <w:shd w:val="clear" w:color="auto" w:fill="FFFFFF"/>
              </w:rPr>
            </w:pPr>
            <w:r>
              <w:rPr>
                <w:rFonts w:hint="eastAsia" w:ascii="宋体" w:hAnsi="宋体" w:eastAsia="宋体" w:cs="宋体"/>
                <w:kern w:val="0"/>
                <w:szCs w:val="22"/>
              </w:rPr>
              <w:t>具备中级</w:t>
            </w:r>
            <w:r>
              <w:rPr>
                <w:rFonts w:hint="eastAsia" w:ascii="宋体" w:hAnsi="宋体" w:eastAsia="宋体" w:cs="Times New Roman"/>
                <w:szCs w:val="21"/>
                <w:shd w:val="clear" w:color="auto" w:fill="FFFFFF"/>
              </w:rPr>
              <w:t>职称的</w:t>
            </w:r>
            <w:r>
              <w:rPr>
                <w:rFonts w:ascii="宋体" w:hAnsi="宋体" w:eastAsia="宋体" w:cs="Times New Roman"/>
                <w:szCs w:val="21"/>
                <w:shd w:val="clear" w:color="auto" w:fill="FFFFFF"/>
              </w:rPr>
              <w:t>得</w:t>
            </w:r>
            <w:r>
              <w:rPr>
                <w:rFonts w:hint="eastAsia" w:ascii="宋体" w:hAnsi="宋体" w:eastAsia="宋体" w:cs="Times New Roman"/>
                <w:szCs w:val="21"/>
                <w:shd w:val="clear" w:color="auto" w:fill="FFFFFF"/>
                <w:lang w:val="en-US" w:eastAsia="zh-CN"/>
              </w:rPr>
              <w:t>5</w:t>
            </w:r>
            <w:r>
              <w:rPr>
                <w:rFonts w:ascii="宋体" w:hAnsi="宋体" w:eastAsia="宋体" w:cs="Times New Roman"/>
                <w:szCs w:val="21"/>
                <w:shd w:val="clear" w:color="auto" w:fill="FFFFFF"/>
              </w:rPr>
              <w:t>分；具备</w:t>
            </w:r>
            <w:r>
              <w:rPr>
                <w:rFonts w:hint="eastAsia" w:ascii="宋体" w:hAnsi="宋体" w:eastAsia="宋体" w:cs="Times New Roman"/>
                <w:szCs w:val="21"/>
                <w:shd w:val="clear" w:color="auto" w:fill="FFFFFF"/>
              </w:rPr>
              <w:t>高级</w:t>
            </w:r>
            <w:r>
              <w:rPr>
                <w:rFonts w:ascii="宋体" w:hAnsi="宋体" w:eastAsia="宋体" w:cs="Times New Roman"/>
                <w:szCs w:val="21"/>
                <w:shd w:val="clear" w:color="auto" w:fill="FFFFFF"/>
              </w:rPr>
              <w:t>职称</w:t>
            </w:r>
            <w:r>
              <w:rPr>
                <w:rFonts w:hint="eastAsia" w:ascii="宋体" w:hAnsi="宋体" w:eastAsia="宋体" w:cs="Times New Roman"/>
                <w:szCs w:val="21"/>
                <w:shd w:val="clear" w:color="auto" w:fill="FFFFFF"/>
              </w:rPr>
              <w:t>（含以上）</w:t>
            </w:r>
            <w:r>
              <w:rPr>
                <w:rFonts w:ascii="宋体" w:hAnsi="宋体" w:eastAsia="宋体" w:cs="Times New Roman"/>
                <w:szCs w:val="21"/>
                <w:shd w:val="clear" w:color="auto" w:fill="FFFFFF"/>
              </w:rPr>
              <w:t>的得</w:t>
            </w:r>
            <w:r>
              <w:rPr>
                <w:rFonts w:hint="eastAsia" w:ascii="宋体" w:hAnsi="宋体" w:eastAsia="宋体" w:cs="Times New Roman"/>
                <w:szCs w:val="21"/>
                <w:shd w:val="clear" w:color="auto" w:fill="FFFFFF"/>
                <w:lang w:val="en-US" w:eastAsia="zh-CN"/>
              </w:rPr>
              <w:t>10</w:t>
            </w:r>
            <w:r>
              <w:rPr>
                <w:rFonts w:ascii="宋体" w:hAnsi="宋体" w:eastAsia="宋体" w:cs="Times New Roman"/>
                <w:szCs w:val="21"/>
                <w:shd w:val="clear" w:color="auto" w:fill="FFFFFF"/>
              </w:rPr>
              <w:t>分；其他情况的不得分。</w:t>
            </w:r>
            <w:r>
              <w:rPr>
                <w:rFonts w:hint="eastAsia" w:ascii="宋体" w:hAnsi="宋体" w:eastAsia="宋体" w:cs="Times New Roman"/>
                <w:szCs w:val="21"/>
                <w:shd w:val="clear" w:color="auto" w:fill="FFFFFF"/>
              </w:rPr>
              <w:t>证明材料：</w:t>
            </w:r>
            <w:r>
              <w:rPr>
                <w:rFonts w:ascii="宋体" w:hAnsi="宋体" w:eastAsia="宋体" w:cs="Times New Roman"/>
                <w:szCs w:val="21"/>
                <w:shd w:val="clear" w:color="auto" w:fill="FFFFFF"/>
              </w:rPr>
              <w:t>提供复印件并加盖</w:t>
            </w:r>
            <w:r>
              <w:rPr>
                <w:rFonts w:hint="eastAsia" w:ascii="宋体" w:hAnsi="宋体" w:eastAsia="宋体" w:cs="Times New Roman"/>
                <w:szCs w:val="21"/>
                <w:shd w:val="clear" w:color="auto" w:fill="FFFFFF"/>
              </w:rPr>
              <w:t>供应商</w:t>
            </w:r>
            <w:r>
              <w:rPr>
                <w:rFonts w:ascii="宋体" w:hAnsi="宋体" w:eastAsia="宋体" w:cs="Times New Roman"/>
                <w:szCs w:val="21"/>
                <w:shd w:val="clear" w:color="auto" w:fill="FFFFFF"/>
              </w:rPr>
              <w:t>公章</w:t>
            </w:r>
            <w:r>
              <w:rPr>
                <w:rFonts w:hint="eastAsia" w:ascii="宋体" w:hAnsi="宋体" w:eastAsia="宋体" w:cs="Times New Roman"/>
                <w:szCs w:val="21"/>
                <w:shd w:val="clear" w:color="auto" w:fill="FFFFFF"/>
              </w:rPr>
              <w:t>。</w:t>
            </w:r>
          </w:p>
        </w:tc>
        <w:tc>
          <w:tcPr>
            <w:tcW w:w="882"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74" w:type="dxa"/>
            <w:noWrap w:val="0"/>
            <w:vAlign w:val="center"/>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w:t>
            </w:r>
          </w:p>
        </w:tc>
        <w:tc>
          <w:tcPr>
            <w:tcW w:w="1134" w:type="dxa"/>
            <w:vMerge w:val="continue"/>
            <w:noWrap w:val="0"/>
            <w:vAlign w:val="center"/>
          </w:tcPr>
          <w:p>
            <w:pPr>
              <w:pStyle w:val="10"/>
              <w:adjustRightInd w:val="0"/>
              <w:snapToGrid w:val="0"/>
              <w:jc w:val="center"/>
              <w:rPr>
                <w:rFonts w:ascii="宋体" w:hAnsi="宋体" w:eastAsia="宋体" w:cs="Times New Roman"/>
                <w:kern w:val="2"/>
                <w:sz w:val="21"/>
                <w:szCs w:val="21"/>
                <w:shd w:val="clear" w:color="auto" w:fill="FFFFFF"/>
              </w:rPr>
            </w:pPr>
          </w:p>
        </w:tc>
        <w:tc>
          <w:tcPr>
            <w:tcW w:w="1559" w:type="dxa"/>
            <w:noWrap w:val="0"/>
            <w:vAlign w:val="center"/>
          </w:tcPr>
          <w:p>
            <w:pPr>
              <w:pStyle w:val="10"/>
              <w:adjustRightInd w:val="0"/>
              <w:snapToGrid w:val="0"/>
              <w:jc w:val="center"/>
              <w:rPr>
                <w:rFonts w:ascii="宋体" w:hAnsi="宋体" w:eastAsia="宋体" w:cs="Times New Roman"/>
                <w:kern w:val="2"/>
                <w:sz w:val="21"/>
                <w:szCs w:val="21"/>
                <w:shd w:val="clear" w:color="auto" w:fill="FFFFFF"/>
              </w:rPr>
            </w:pPr>
            <w:r>
              <w:rPr>
                <w:rFonts w:ascii="宋体" w:hAnsi="宋体" w:eastAsia="宋体" w:cs="Times New Roman"/>
                <w:kern w:val="2"/>
                <w:sz w:val="21"/>
                <w:szCs w:val="21"/>
                <w:shd w:val="clear" w:color="auto" w:fill="FFFFFF"/>
              </w:rPr>
              <w:t>项目团队成员</w:t>
            </w:r>
            <w:r>
              <w:rPr>
                <w:rFonts w:hint="eastAsia" w:ascii="宋体" w:hAnsi="宋体" w:eastAsia="宋体" w:cs="Times New Roman"/>
                <w:kern w:val="2"/>
                <w:sz w:val="21"/>
                <w:szCs w:val="21"/>
                <w:shd w:val="clear" w:color="auto" w:fill="FFFFFF"/>
              </w:rPr>
              <w:t>（</w:t>
            </w:r>
            <w:r>
              <w:rPr>
                <w:rFonts w:hint="eastAsia" w:ascii="宋体" w:hAnsi="宋体" w:eastAsia="宋体" w:cs="Times New Roman"/>
                <w:kern w:val="2"/>
                <w:sz w:val="21"/>
                <w:szCs w:val="21"/>
                <w:shd w:val="clear" w:color="auto" w:fill="FFFFFF"/>
                <w:lang w:val="en-US" w:eastAsia="zh-CN"/>
              </w:rPr>
              <w:t>15</w:t>
            </w:r>
            <w:r>
              <w:rPr>
                <w:rFonts w:hint="eastAsia" w:ascii="宋体" w:hAnsi="宋体" w:eastAsia="宋体" w:cs="Times New Roman"/>
                <w:kern w:val="2"/>
                <w:sz w:val="21"/>
                <w:szCs w:val="21"/>
                <w:shd w:val="clear" w:color="auto" w:fill="FFFFFF"/>
              </w:rPr>
              <w:t>分）</w:t>
            </w:r>
          </w:p>
        </w:tc>
        <w:tc>
          <w:tcPr>
            <w:tcW w:w="9925" w:type="dxa"/>
            <w:noWrap w:val="0"/>
            <w:vAlign w:val="center"/>
          </w:tcPr>
          <w:p>
            <w:pPr>
              <w:spacing w:line="300" w:lineRule="exact"/>
              <w:rPr>
                <w:rFonts w:ascii="宋体" w:hAnsi="宋体" w:eastAsia="宋体" w:cs="Times New Roman"/>
                <w:szCs w:val="21"/>
                <w:shd w:val="clear" w:color="auto" w:fill="FFFFFF"/>
              </w:rPr>
            </w:pPr>
            <w:r>
              <w:rPr>
                <w:rFonts w:ascii="宋体" w:hAnsi="宋体" w:eastAsia="宋体" w:cs="Times New Roman"/>
                <w:szCs w:val="21"/>
                <w:shd w:val="clear" w:color="auto" w:fill="FFFFFF"/>
              </w:rPr>
              <w:t>专业配备齐全，项目组人员中</w:t>
            </w:r>
            <w:r>
              <w:rPr>
                <w:rFonts w:hint="eastAsia" w:ascii="宋体" w:hAnsi="宋体" w:eastAsia="宋体" w:cs="Times New Roman"/>
                <w:szCs w:val="21"/>
                <w:shd w:val="clear" w:color="auto" w:fill="FFFFFF"/>
              </w:rPr>
              <w:t>除项目负责人外，每配备1名相关专业中级（含以上）职称的得</w:t>
            </w:r>
            <w:r>
              <w:rPr>
                <w:rFonts w:hint="eastAsia" w:ascii="宋体" w:hAnsi="宋体" w:eastAsia="宋体" w:cs="Times New Roman"/>
                <w:szCs w:val="21"/>
                <w:shd w:val="clear" w:color="auto" w:fill="FFFFFF"/>
                <w:lang w:val="en-US" w:eastAsia="zh-CN"/>
              </w:rPr>
              <w:t>3</w:t>
            </w:r>
            <w:r>
              <w:rPr>
                <w:rFonts w:hint="eastAsia" w:ascii="宋体" w:hAnsi="宋体" w:eastAsia="宋体" w:cs="Times New Roman"/>
                <w:szCs w:val="21"/>
                <w:shd w:val="clear" w:color="auto" w:fill="FFFFFF"/>
              </w:rPr>
              <w:t>分，最高得</w:t>
            </w:r>
            <w:r>
              <w:rPr>
                <w:rFonts w:hint="eastAsia" w:ascii="宋体" w:hAnsi="宋体" w:eastAsia="宋体" w:cs="Times New Roman"/>
                <w:szCs w:val="21"/>
                <w:shd w:val="clear" w:color="auto" w:fill="FFFFFF"/>
                <w:lang w:val="en-US" w:eastAsia="zh-CN"/>
              </w:rPr>
              <w:t>15</w:t>
            </w:r>
            <w:r>
              <w:rPr>
                <w:rFonts w:hint="eastAsia" w:ascii="宋体" w:hAnsi="宋体" w:eastAsia="宋体" w:cs="Times New Roman"/>
                <w:szCs w:val="21"/>
                <w:shd w:val="clear" w:color="auto" w:fill="FFFFFF"/>
              </w:rPr>
              <w:t>分。注：相关专业含</w:t>
            </w:r>
            <w:r>
              <w:rPr>
                <w:rFonts w:hint="eastAsia" w:ascii="宋体" w:hAnsi="宋体" w:eastAsia="宋体" w:cs="Times New Roman"/>
                <w:szCs w:val="21"/>
                <w:shd w:val="clear" w:color="auto" w:fill="FFFFFF"/>
                <w:lang w:val="en-US" w:eastAsia="zh-CN"/>
              </w:rPr>
              <w:t>地质、采矿、经济类</w:t>
            </w:r>
            <w:r>
              <w:rPr>
                <w:rFonts w:hint="eastAsia" w:ascii="宋体" w:hAnsi="宋体" w:eastAsia="宋体" w:cs="Times New Roman"/>
                <w:szCs w:val="21"/>
                <w:shd w:val="clear" w:color="auto" w:fill="FFFFFF"/>
              </w:rPr>
              <w:t>等。</w:t>
            </w:r>
          </w:p>
          <w:p>
            <w:pPr>
              <w:adjustRightInd w:val="0"/>
              <w:snapToGrid w:val="0"/>
              <w:jc w:val="left"/>
              <w:rPr>
                <w:rFonts w:ascii="宋体" w:hAnsi="宋体" w:eastAsia="宋体" w:cs="Times New Roman"/>
                <w:color w:val="auto"/>
                <w:szCs w:val="21"/>
                <w:shd w:val="clear" w:color="auto" w:fill="FFFFFF"/>
              </w:rPr>
            </w:pPr>
            <w:r>
              <w:rPr>
                <w:rFonts w:hint="eastAsia" w:ascii="宋体" w:hAnsi="宋体" w:eastAsia="宋体" w:cs="Times New Roman"/>
                <w:szCs w:val="21"/>
                <w:shd w:val="clear" w:color="auto" w:fill="FFFFFF"/>
              </w:rPr>
              <w:t>证明材料：响应文件中提供</w:t>
            </w:r>
            <w:r>
              <w:rPr>
                <w:rFonts w:hint="eastAsia" w:ascii="宋体" w:hAnsi="宋体" w:eastAsia="宋体" w:cs="Times New Roman"/>
                <w:szCs w:val="21"/>
                <w:shd w:val="clear" w:color="auto" w:fill="FFFFFF"/>
                <w:lang w:val="en-US" w:eastAsia="zh-CN"/>
              </w:rPr>
              <w:t>矿业权评估师证</w:t>
            </w:r>
            <w:r>
              <w:rPr>
                <w:rFonts w:hint="eastAsia" w:ascii="宋体" w:hAnsi="宋体" w:eastAsia="宋体" w:cs="Times New Roman"/>
                <w:szCs w:val="21"/>
                <w:shd w:val="clear" w:color="auto" w:fill="FFFFFF"/>
              </w:rPr>
              <w:t>、职称证等相关证件复印件加盖公章。</w:t>
            </w:r>
          </w:p>
        </w:tc>
        <w:tc>
          <w:tcPr>
            <w:tcW w:w="882" w:type="dxa"/>
            <w:noWrap w:val="0"/>
            <w:vAlign w:val="center"/>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adjustRightInd w:val="0"/>
              <w:snapToGrid w:val="0"/>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4</w:t>
            </w:r>
          </w:p>
        </w:tc>
        <w:tc>
          <w:tcPr>
            <w:tcW w:w="1134" w:type="dxa"/>
            <w:vMerge w:val="continue"/>
            <w:noWrap w:val="0"/>
            <w:vAlign w:val="center"/>
          </w:tcPr>
          <w:p>
            <w:pPr>
              <w:adjustRightInd w:val="0"/>
              <w:snapToGrid w:val="0"/>
              <w:spacing w:line="440" w:lineRule="exact"/>
              <w:jc w:val="center"/>
              <w:rPr>
                <w:rFonts w:hint="eastAsia" w:ascii="宋体" w:hAnsi="宋体" w:eastAsia="宋体" w:cs="Times New Roman"/>
                <w:szCs w:val="21"/>
                <w:shd w:val="clear" w:color="auto" w:fill="FFFFFF"/>
              </w:rPr>
            </w:pPr>
          </w:p>
        </w:tc>
        <w:tc>
          <w:tcPr>
            <w:tcW w:w="1559" w:type="dxa"/>
            <w:noWrap w:val="0"/>
            <w:vAlign w:val="center"/>
          </w:tcPr>
          <w:p>
            <w:pPr>
              <w:adjustRightInd w:val="0"/>
              <w:snapToGrid w:val="0"/>
              <w:spacing w:line="440" w:lineRule="exact"/>
              <w:jc w:val="center"/>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业绩（</w:t>
            </w:r>
            <w:r>
              <w:rPr>
                <w:rFonts w:hint="eastAsia" w:ascii="宋体" w:hAnsi="宋体" w:eastAsia="宋体" w:cs="Times New Roman"/>
                <w:szCs w:val="21"/>
                <w:shd w:val="clear" w:color="auto" w:fill="FFFFFF"/>
                <w:lang w:val="en-US" w:eastAsia="zh-CN"/>
              </w:rPr>
              <w:t>10</w:t>
            </w:r>
            <w:r>
              <w:rPr>
                <w:rFonts w:hint="eastAsia" w:ascii="宋体" w:hAnsi="宋体" w:eastAsia="宋体" w:cs="Times New Roman"/>
                <w:szCs w:val="21"/>
                <w:shd w:val="clear" w:color="auto" w:fill="FFFFFF"/>
              </w:rPr>
              <w:t>分）</w:t>
            </w:r>
          </w:p>
        </w:tc>
        <w:tc>
          <w:tcPr>
            <w:tcW w:w="9925" w:type="dxa"/>
            <w:noWrap w:val="0"/>
            <w:vAlign w:val="center"/>
          </w:tcPr>
          <w:p>
            <w:pPr>
              <w:adjustRightInd w:val="0"/>
              <w:snapToGrid w:val="0"/>
              <w:jc w:val="left"/>
              <w:rPr>
                <w:rFonts w:ascii="宋体" w:hAnsi="宋体" w:eastAsia="宋体" w:cs="Times New Roman"/>
                <w:szCs w:val="21"/>
                <w:shd w:val="clear" w:color="auto" w:fill="FFFFFF"/>
              </w:rPr>
            </w:pPr>
            <w:r>
              <w:rPr>
                <w:rFonts w:ascii="宋体" w:hAnsi="宋体" w:eastAsia="宋体" w:cs="Times New Roman"/>
                <w:szCs w:val="21"/>
                <w:shd w:val="clear" w:color="auto" w:fill="FFFFFF"/>
              </w:rPr>
              <w:t>20</w:t>
            </w:r>
            <w:r>
              <w:rPr>
                <w:rFonts w:hint="eastAsia" w:ascii="宋体" w:hAnsi="宋体" w:eastAsia="宋体" w:cs="Times New Roman"/>
                <w:szCs w:val="21"/>
                <w:shd w:val="clear" w:color="auto" w:fill="FFFFFF"/>
                <w:lang w:val="en-US" w:eastAsia="zh-CN"/>
              </w:rPr>
              <w:t>21</w:t>
            </w:r>
            <w:r>
              <w:rPr>
                <w:rFonts w:ascii="宋体" w:hAnsi="宋体" w:eastAsia="宋体" w:cs="Times New Roman"/>
                <w:szCs w:val="21"/>
                <w:shd w:val="clear" w:color="auto" w:fill="FFFFFF"/>
              </w:rPr>
              <w:t xml:space="preserve">年1月1日起至今，企业拥有 1 项同类型业绩的，得 </w:t>
            </w:r>
            <w:r>
              <w:rPr>
                <w:rFonts w:hint="eastAsia" w:ascii="宋体" w:hAnsi="宋体" w:eastAsia="宋体" w:cs="Times New Roman"/>
                <w:szCs w:val="21"/>
                <w:shd w:val="clear" w:color="auto" w:fill="FFFFFF"/>
                <w:lang w:val="en-US" w:eastAsia="zh-CN"/>
              </w:rPr>
              <w:t>4</w:t>
            </w:r>
            <w:r>
              <w:rPr>
                <w:rFonts w:ascii="宋体" w:hAnsi="宋体" w:eastAsia="宋体" w:cs="Times New Roman"/>
                <w:szCs w:val="21"/>
                <w:shd w:val="clear" w:color="auto" w:fill="FFFFFF"/>
              </w:rPr>
              <w:t xml:space="preserve">分；每增加一项业绩，加 </w:t>
            </w:r>
            <w:r>
              <w:rPr>
                <w:rFonts w:hint="eastAsia" w:ascii="宋体" w:hAnsi="宋体" w:eastAsia="宋体" w:cs="Times New Roman"/>
                <w:szCs w:val="21"/>
                <w:shd w:val="clear" w:color="auto" w:fill="FFFFFF"/>
                <w:lang w:val="en-US" w:eastAsia="zh-CN"/>
              </w:rPr>
              <w:t>3</w:t>
            </w:r>
            <w:r>
              <w:rPr>
                <w:rFonts w:ascii="宋体" w:hAnsi="宋体" w:eastAsia="宋体" w:cs="Times New Roman"/>
                <w:szCs w:val="21"/>
                <w:shd w:val="clear" w:color="auto" w:fill="FFFFFF"/>
              </w:rPr>
              <w:t xml:space="preserve">分，最多计 </w:t>
            </w:r>
            <w:r>
              <w:rPr>
                <w:rFonts w:hint="eastAsia" w:ascii="宋体" w:hAnsi="宋体" w:eastAsia="宋体" w:cs="Times New Roman"/>
                <w:szCs w:val="21"/>
                <w:shd w:val="clear" w:color="auto" w:fill="FFFFFF"/>
                <w:lang w:val="en-US" w:eastAsia="zh-CN"/>
              </w:rPr>
              <w:t>10</w:t>
            </w:r>
            <w:r>
              <w:rPr>
                <w:rFonts w:ascii="宋体" w:hAnsi="宋体" w:eastAsia="宋体" w:cs="Times New Roman"/>
                <w:szCs w:val="21"/>
                <w:shd w:val="clear" w:color="auto" w:fill="FFFFFF"/>
              </w:rPr>
              <w:t xml:space="preserve"> 分。 </w:t>
            </w:r>
            <w:r>
              <w:rPr>
                <w:rFonts w:ascii="宋体" w:hAnsi="宋体" w:eastAsia="宋体" w:cs="宋体"/>
                <w:szCs w:val="21"/>
              </w:rPr>
              <w:t>同类业绩指：</w:t>
            </w:r>
            <w:r>
              <w:rPr>
                <w:rFonts w:hint="eastAsia" w:ascii="宋体" w:hAnsi="宋体" w:eastAsia="宋体" w:cs="宋体"/>
                <w:szCs w:val="21"/>
              </w:rPr>
              <w:t>承接过</w:t>
            </w:r>
            <w:r>
              <w:rPr>
                <w:rFonts w:hint="eastAsia" w:ascii="宋体" w:hAnsi="宋体" w:eastAsia="宋体" w:cs="宋体"/>
                <w:szCs w:val="21"/>
                <w:lang w:val="en-US" w:eastAsia="zh-CN"/>
              </w:rPr>
              <w:t>固体矿产出让收益评估</w:t>
            </w:r>
            <w:r>
              <w:rPr>
                <w:rFonts w:hint="eastAsia" w:ascii="宋体" w:hAnsi="宋体" w:eastAsia="宋体" w:cs="宋体"/>
                <w:szCs w:val="21"/>
              </w:rPr>
              <w:t>类相关业绩。证明材料：</w:t>
            </w:r>
            <w:r>
              <w:rPr>
                <w:rFonts w:hint="eastAsia" w:ascii="宋体" w:hAnsi="宋体" w:eastAsia="宋体" w:cs="宋体"/>
                <w:szCs w:val="21"/>
                <w:lang w:val="en-US" w:eastAsia="zh-CN"/>
              </w:rPr>
              <w:t>报名材料</w:t>
            </w:r>
            <w:r>
              <w:rPr>
                <w:rFonts w:hint="eastAsia" w:ascii="宋体" w:hAnsi="宋体" w:eastAsia="宋体" w:cs="宋体"/>
                <w:szCs w:val="21"/>
              </w:rPr>
              <w:t>中提供合同复印件</w:t>
            </w:r>
            <w:r>
              <w:rPr>
                <w:rFonts w:hint="eastAsia" w:ascii="宋体" w:hAnsi="宋体" w:eastAsia="宋体" w:cs="宋体"/>
                <w:szCs w:val="21"/>
                <w:lang w:eastAsia="zh-CN"/>
              </w:rPr>
              <w:t>、</w:t>
            </w:r>
            <w:r>
              <w:rPr>
                <w:rFonts w:hint="eastAsia" w:ascii="宋体" w:hAnsi="宋体" w:eastAsia="宋体" w:cs="宋体"/>
                <w:szCs w:val="21"/>
                <w:lang w:val="en-US" w:eastAsia="zh-CN"/>
              </w:rPr>
              <w:t>报告摘要等相关材料</w:t>
            </w:r>
            <w:r>
              <w:rPr>
                <w:rFonts w:hint="eastAsia" w:ascii="宋体" w:hAnsi="宋体" w:eastAsia="宋体" w:cs="宋体"/>
                <w:szCs w:val="21"/>
              </w:rPr>
              <w:t>加盖公章。</w:t>
            </w:r>
          </w:p>
        </w:tc>
        <w:tc>
          <w:tcPr>
            <w:tcW w:w="882" w:type="dxa"/>
            <w:noWrap w:val="0"/>
            <w:vAlign w:val="center"/>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adjustRightInd w:val="0"/>
              <w:snapToGrid w:val="0"/>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5</w:t>
            </w:r>
          </w:p>
        </w:tc>
        <w:tc>
          <w:tcPr>
            <w:tcW w:w="1134" w:type="dxa"/>
            <w:vMerge w:val="restart"/>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技术部分（30分）</w:t>
            </w:r>
          </w:p>
        </w:tc>
        <w:tc>
          <w:tcPr>
            <w:tcW w:w="1559"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项目开展方案（10分）</w:t>
            </w:r>
          </w:p>
        </w:tc>
        <w:tc>
          <w:tcPr>
            <w:tcW w:w="9925" w:type="dxa"/>
            <w:noWrap w:val="0"/>
            <w:vAlign w:val="center"/>
          </w:tcPr>
          <w:p>
            <w:pPr>
              <w:adjustRightInd w:val="0"/>
              <w:snapToGrid w:val="0"/>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项目方案完全满足业主需求，且技术路线合理得10分；</w:t>
            </w:r>
          </w:p>
          <w:p>
            <w:pPr>
              <w:adjustRightInd w:val="0"/>
              <w:snapToGrid w:val="0"/>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项目实施方案基本满足业主需求，但技术路线有不足得5分；</w:t>
            </w:r>
          </w:p>
          <w:p>
            <w:pPr>
              <w:adjustRightInd w:val="0"/>
              <w:snapToGrid w:val="0"/>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项目实施方案存在较大缺陷，无法满足业主要求得2分；未提供不得分。</w:t>
            </w:r>
          </w:p>
        </w:tc>
        <w:tc>
          <w:tcPr>
            <w:tcW w:w="882"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adjustRightInd w:val="0"/>
              <w:snapToGrid w:val="0"/>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6</w:t>
            </w:r>
          </w:p>
        </w:tc>
        <w:tc>
          <w:tcPr>
            <w:tcW w:w="1134" w:type="dxa"/>
            <w:vMerge w:val="continue"/>
            <w:noWrap w:val="0"/>
            <w:vAlign w:val="center"/>
          </w:tcPr>
          <w:p>
            <w:pPr>
              <w:adjustRightInd w:val="0"/>
              <w:snapToGrid w:val="0"/>
              <w:jc w:val="center"/>
              <w:rPr>
                <w:rFonts w:ascii="Times New Roman" w:hAnsi="Times New Roman" w:eastAsia="宋体" w:cs="Times New Roman"/>
                <w:szCs w:val="22"/>
              </w:rPr>
            </w:pPr>
          </w:p>
        </w:tc>
        <w:tc>
          <w:tcPr>
            <w:tcW w:w="1559"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项目质量保证措施（10分）</w:t>
            </w:r>
          </w:p>
        </w:tc>
        <w:tc>
          <w:tcPr>
            <w:tcW w:w="9925" w:type="dxa"/>
            <w:noWrap w:val="0"/>
            <w:vAlign w:val="center"/>
          </w:tcPr>
          <w:p>
            <w:pPr>
              <w:adjustRightInd w:val="0"/>
              <w:snapToGrid w:val="0"/>
              <w:jc w:val="left"/>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投标人质量管理体系及质量管理措施具体详细，每个实施环节目标明确，对项目组实施人员有具体奖罚措施要求且合理可行。</w:t>
            </w:r>
          </w:p>
          <w:p>
            <w:pPr>
              <w:adjustRightInd w:val="0"/>
              <w:snapToGrid w:val="0"/>
              <w:jc w:val="left"/>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描述优秀的得10-7分；不够完善或有瑕疵的得6-3分；较差的2-1分；不提供不得分。</w:t>
            </w:r>
          </w:p>
        </w:tc>
        <w:tc>
          <w:tcPr>
            <w:tcW w:w="882"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adjustRightInd w:val="0"/>
              <w:snapToGrid w:val="0"/>
              <w:jc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7</w:t>
            </w:r>
          </w:p>
        </w:tc>
        <w:tc>
          <w:tcPr>
            <w:tcW w:w="1134" w:type="dxa"/>
            <w:vMerge w:val="continue"/>
            <w:noWrap w:val="0"/>
            <w:vAlign w:val="center"/>
          </w:tcPr>
          <w:p>
            <w:pPr>
              <w:adjustRightInd w:val="0"/>
              <w:snapToGrid w:val="0"/>
              <w:jc w:val="center"/>
              <w:rPr>
                <w:rFonts w:ascii="Times New Roman" w:hAnsi="Times New Roman" w:eastAsia="宋体" w:cs="Times New Roman"/>
                <w:szCs w:val="22"/>
              </w:rPr>
            </w:pPr>
          </w:p>
        </w:tc>
        <w:tc>
          <w:tcPr>
            <w:tcW w:w="1559"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项目进度保证措施（10分）</w:t>
            </w:r>
          </w:p>
        </w:tc>
        <w:tc>
          <w:tcPr>
            <w:tcW w:w="9925" w:type="dxa"/>
            <w:noWrap w:val="0"/>
            <w:vAlign w:val="center"/>
          </w:tcPr>
          <w:p>
            <w:pPr>
              <w:adjustRightInd w:val="0"/>
              <w:snapToGrid w:val="0"/>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项目进度保证措施</w:t>
            </w:r>
            <w:r>
              <w:rPr>
                <w:rFonts w:hint="eastAsia" w:ascii="Times New Roman" w:hAnsi="Times New Roman" w:eastAsia="宋体" w:cs="Times New Roman"/>
                <w:szCs w:val="21"/>
                <w:shd w:val="clear" w:color="auto" w:fill="FFFFFF"/>
              </w:rPr>
              <w:t>必须包括但不限于：</w:t>
            </w:r>
            <w:r>
              <w:rPr>
                <w:rFonts w:hint="eastAsia" w:ascii="宋体" w:hAnsi="宋体" w:eastAsia="宋体" w:cs="Times New Roman"/>
                <w:szCs w:val="21"/>
                <w:shd w:val="clear" w:color="auto" w:fill="FFFFFF"/>
              </w:rPr>
              <w:t>进度保证措施、承诺的工期满足招标文件要求、总体进度计划和各阶段进度计划安排、满足项目开展要求</w:t>
            </w:r>
            <w:r>
              <w:rPr>
                <w:rFonts w:hint="eastAsia" w:ascii="Times New Roman" w:hAnsi="Times New Roman" w:eastAsia="宋体" w:cs="Times New Roman"/>
                <w:szCs w:val="21"/>
                <w:shd w:val="clear" w:color="auto" w:fill="FFFFFF"/>
              </w:rPr>
              <w:t>等内容。</w:t>
            </w:r>
          </w:p>
          <w:p>
            <w:pPr>
              <w:adjustRightInd w:val="0"/>
              <w:snapToGrid w:val="0"/>
              <w:jc w:val="left"/>
              <w:rPr>
                <w:rFonts w:ascii="Times New Roman" w:hAnsi="Times New Roman" w:eastAsia="宋体" w:cs="Times New Roman"/>
                <w:szCs w:val="21"/>
                <w:shd w:val="clear" w:color="auto" w:fill="FFFFFF"/>
              </w:rPr>
            </w:pPr>
            <w:r>
              <w:rPr>
                <w:rFonts w:hint="eastAsia" w:ascii="宋体" w:hAnsi="宋体" w:eastAsia="宋体" w:cs="Times New Roman"/>
                <w:szCs w:val="21"/>
                <w:shd w:val="clear" w:color="auto" w:fill="FFFFFF"/>
              </w:rPr>
              <w:t>项目进度保证措施</w:t>
            </w:r>
            <w:r>
              <w:rPr>
                <w:rFonts w:hint="eastAsia" w:ascii="Times New Roman" w:hAnsi="Times New Roman" w:eastAsia="宋体" w:cs="Times New Roman"/>
                <w:szCs w:val="21"/>
                <w:shd w:val="clear" w:color="auto" w:fill="FFFFFF"/>
              </w:rPr>
              <w:t>完整详细、合理、可行性高，服务承诺好得10分；</w:t>
            </w:r>
          </w:p>
          <w:p>
            <w:pPr>
              <w:adjustRightInd w:val="0"/>
              <w:snapToGrid w:val="0"/>
              <w:jc w:val="left"/>
              <w:rPr>
                <w:rFonts w:ascii="Times New Roman" w:hAnsi="Times New Roman" w:eastAsia="宋体" w:cs="Times New Roman"/>
                <w:szCs w:val="21"/>
                <w:shd w:val="clear" w:color="auto" w:fill="FFFFFF"/>
              </w:rPr>
            </w:pPr>
            <w:r>
              <w:rPr>
                <w:rFonts w:hint="eastAsia" w:ascii="宋体" w:hAnsi="宋体" w:eastAsia="宋体" w:cs="Times New Roman"/>
                <w:szCs w:val="21"/>
                <w:shd w:val="clear" w:color="auto" w:fill="FFFFFF"/>
              </w:rPr>
              <w:t>项目进度保证措施</w:t>
            </w:r>
            <w:r>
              <w:rPr>
                <w:rFonts w:hint="eastAsia" w:ascii="Times New Roman" w:hAnsi="Times New Roman" w:eastAsia="宋体" w:cs="Times New Roman"/>
                <w:szCs w:val="21"/>
                <w:shd w:val="clear" w:color="auto" w:fill="FFFFFF"/>
              </w:rPr>
              <w:t>较完整较详细、较合理、可行性一般，服务承诺一般得5分；</w:t>
            </w:r>
          </w:p>
          <w:p>
            <w:pPr>
              <w:adjustRightInd w:val="0"/>
              <w:snapToGrid w:val="0"/>
              <w:jc w:val="left"/>
              <w:rPr>
                <w:rFonts w:ascii="Times New Roman" w:hAnsi="Times New Roman" w:eastAsia="宋体" w:cs="Times New Roman"/>
                <w:szCs w:val="21"/>
                <w:shd w:val="clear" w:color="auto" w:fill="FFFFFF"/>
              </w:rPr>
            </w:pPr>
            <w:r>
              <w:rPr>
                <w:rFonts w:hint="eastAsia" w:ascii="宋体" w:hAnsi="宋体" w:eastAsia="宋体" w:cs="Times New Roman"/>
                <w:szCs w:val="21"/>
                <w:shd w:val="clear" w:color="auto" w:fill="FFFFFF"/>
              </w:rPr>
              <w:t>项目进度保证措施</w:t>
            </w:r>
            <w:r>
              <w:rPr>
                <w:rFonts w:hint="eastAsia" w:ascii="Times New Roman" w:hAnsi="Times New Roman" w:eastAsia="宋体" w:cs="Times New Roman"/>
                <w:szCs w:val="21"/>
                <w:shd w:val="clear" w:color="auto" w:fill="FFFFFF"/>
              </w:rPr>
              <w:t>不完整不详细、不合理、可行性低，服务承诺差得2分；</w:t>
            </w:r>
            <w:r>
              <w:rPr>
                <w:rFonts w:hint="eastAsia" w:ascii="宋体" w:hAnsi="宋体" w:eastAsia="宋体" w:cs="Times New Roman"/>
                <w:szCs w:val="21"/>
                <w:shd w:val="clear" w:color="auto" w:fill="FFFFFF"/>
              </w:rPr>
              <w:t>未提供不得分。</w:t>
            </w:r>
          </w:p>
        </w:tc>
        <w:tc>
          <w:tcPr>
            <w:tcW w:w="882"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w:t>
            </w:r>
          </w:p>
        </w:tc>
        <w:tc>
          <w:tcPr>
            <w:tcW w:w="1134"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价格部分（15分）</w:t>
            </w:r>
          </w:p>
        </w:tc>
        <w:tc>
          <w:tcPr>
            <w:tcW w:w="1559"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价格分（15分）</w:t>
            </w:r>
          </w:p>
        </w:tc>
        <w:tc>
          <w:tcPr>
            <w:tcW w:w="9925" w:type="dxa"/>
            <w:noWrap w:val="0"/>
            <w:vAlign w:val="center"/>
          </w:tcPr>
          <w:p>
            <w:pPr>
              <w:spacing w:line="380" w:lineRule="exact"/>
              <w:rPr>
                <w:rFonts w:ascii="宋体" w:hAnsi="宋体" w:eastAsia="宋体" w:cs="宋体"/>
                <w:szCs w:val="22"/>
              </w:rPr>
            </w:pPr>
            <w:r>
              <w:rPr>
                <w:rFonts w:hint="eastAsia" w:ascii="宋体" w:hAnsi="宋体" w:eastAsia="宋体" w:cs="宋体"/>
                <w:szCs w:val="22"/>
              </w:rPr>
              <w:t>参选单位的投标报价Ai等于评标基准价B时，得分</w:t>
            </w:r>
            <w:r>
              <w:rPr>
                <w:rFonts w:hint="eastAsia" w:ascii="宋体" w:hAnsi="宋体" w:eastAsia="宋体" w:cs="宋体"/>
                <w:szCs w:val="22"/>
                <w:lang w:val="en-US" w:eastAsia="zh-CN"/>
              </w:rPr>
              <w:t>1</w:t>
            </w:r>
            <w:r>
              <w:rPr>
                <w:rFonts w:hint="eastAsia" w:ascii="宋体" w:hAnsi="宋体" w:eastAsia="宋体" w:cs="宋体"/>
                <w:szCs w:val="22"/>
              </w:rPr>
              <w:t>5分，每高于B的1%扣0.2分，每低于B的1%扣0.1分，中间值按比例内插。公式表示如下：Fi=F-｜Ai-B｜÷B×100×C</w:t>
            </w:r>
          </w:p>
          <w:p>
            <w:pPr>
              <w:spacing w:line="380" w:lineRule="exact"/>
              <w:rPr>
                <w:rFonts w:ascii="宋体" w:hAnsi="宋体" w:eastAsia="宋体" w:cs="宋体"/>
                <w:szCs w:val="22"/>
              </w:rPr>
            </w:pPr>
            <w:r>
              <w:rPr>
                <w:rFonts w:hint="eastAsia" w:ascii="宋体" w:hAnsi="宋体" w:eastAsia="宋体" w:cs="宋体"/>
                <w:szCs w:val="22"/>
              </w:rPr>
              <w:t>式中：Fi-参选单位的报价得分；</w:t>
            </w:r>
          </w:p>
          <w:p>
            <w:pPr>
              <w:spacing w:line="380" w:lineRule="exact"/>
              <w:rPr>
                <w:rFonts w:ascii="宋体" w:hAnsi="宋体" w:eastAsia="宋体" w:cs="宋体"/>
                <w:szCs w:val="22"/>
              </w:rPr>
            </w:pPr>
            <w:r>
              <w:rPr>
                <w:rFonts w:hint="eastAsia" w:ascii="宋体" w:hAnsi="宋体" w:eastAsia="宋体" w:cs="宋体"/>
                <w:szCs w:val="22"/>
              </w:rPr>
              <w:t xml:space="preserve">      F-满分</w:t>
            </w:r>
            <w:r>
              <w:rPr>
                <w:rFonts w:hint="eastAsia" w:ascii="宋体" w:hAnsi="宋体" w:eastAsia="宋体" w:cs="宋体"/>
                <w:szCs w:val="22"/>
                <w:lang w:val="en-US" w:eastAsia="zh-CN"/>
              </w:rPr>
              <w:t>1</w:t>
            </w:r>
            <w:r>
              <w:rPr>
                <w:rFonts w:hint="eastAsia" w:ascii="宋体" w:hAnsi="宋体" w:eastAsia="宋体" w:cs="宋体"/>
                <w:szCs w:val="22"/>
              </w:rPr>
              <w:t>5分；</w:t>
            </w:r>
          </w:p>
          <w:p>
            <w:pPr>
              <w:spacing w:line="380" w:lineRule="exact"/>
              <w:rPr>
                <w:rFonts w:ascii="宋体" w:hAnsi="宋体" w:eastAsia="宋体" w:cs="宋体"/>
                <w:szCs w:val="22"/>
              </w:rPr>
            </w:pPr>
            <w:r>
              <w:rPr>
                <w:rFonts w:hint="eastAsia" w:ascii="宋体" w:hAnsi="宋体" w:eastAsia="宋体" w:cs="宋体"/>
                <w:szCs w:val="22"/>
              </w:rPr>
              <w:t xml:space="preserve">      Ai-参选单位的报价；</w:t>
            </w:r>
          </w:p>
          <w:p>
            <w:pPr>
              <w:spacing w:line="380" w:lineRule="exact"/>
              <w:ind w:firstLine="630" w:firstLineChars="300"/>
              <w:rPr>
                <w:rFonts w:ascii="宋体" w:hAnsi="宋体" w:eastAsia="宋体" w:cs="宋体"/>
                <w:szCs w:val="22"/>
              </w:rPr>
            </w:pPr>
            <w:r>
              <w:rPr>
                <w:rFonts w:hint="eastAsia" w:ascii="宋体" w:hAnsi="宋体" w:eastAsia="宋体" w:cs="宋体"/>
                <w:szCs w:val="22"/>
              </w:rPr>
              <w:t>B-评标基准价；通过初步评审的参选单位报价的算术平均值为评标基准价，若有效报价的参选单位</w:t>
            </w:r>
            <w:r>
              <w:rPr>
                <w:rFonts w:hint="eastAsia" w:ascii="宋体" w:hAnsi="宋体" w:eastAsia="宋体" w:cs="宋体"/>
                <w:szCs w:val="22"/>
                <w:lang w:val="en-US" w:eastAsia="zh-CN"/>
              </w:rPr>
              <w:t>＞</w:t>
            </w:r>
            <w:r>
              <w:rPr>
                <w:rFonts w:hint="eastAsia" w:ascii="宋体" w:hAnsi="宋体" w:eastAsia="宋体" w:cs="宋体"/>
                <w:szCs w:val="22"/>
              </w:rPr>
              <w:t>5家，去掉一个最高价、去掉一个最低价后的算术平均为评标基准价</w:t>
            </w:r>
            <w:r>
              <w:rPr>
                <w:rFonts w:hint="eastAsia" w:ascii="宋体" w:hAnsi="宋体" w:eastAsia="宋体" w:cs="宋体"/>
                <w:szCs w:val="22"/>
                <w:lang w:eastAsia="zh-CN"/>
              </w:rPr>
              <w:t>；</w:t>
            </w:r>
            <w:r>
              <w:rPr>
                <w:rFonts w:hint="eastAsia" w:ascii="宋体" w:hAnsi="宋体" w:eastAsia="宋体" w:cs="宋体"/>
                <w:szCs w:val="22"/>
              </w:rPr>
              <w:t>若有效报价的参选单位</w:t>
            </w:r>
            <w:r>
              <w:rPr>
                <w:rFonts w:hint="eastAsia" w:ascii="宋体" w:hAnsi="宋体" w:eastAsia="宋体" w:cs="宋体"/>
                <w:szCs w:val="22"/>
                <w:lang w:val="en-US" w:eastAsia="zh-CN"/>
              </w:rPr>
              <w:t>≤5家，</w:t>
            </w:r>
            <w:r>
              <w:rPr>
                <w:rFonts w:hint="eastAsia" w:ascii="宋体" w:hAnsi="宋体" w:eastAsia="宋体" w:cs="宋体"/>
                <w:szCs w:val="22"/>
              </w:rPr>
              <w:t>算术平均为评标基准价</w:t>
            </w:r>
            <w:r>
              <w:rPr>
                <w:rFonts w:hint="eastAsia" w:ascii="宋体" w:hAnsi="宋体" w:eastAsia="宋体" w:cs="宋体"/>
                <w:szCs w:val="22"/>
                <w:lang w:eastAsia="zh-CN"/>
              </w:rPr>
              <w:t>。</w:t>
            </w:r>
          </w:p>
          <w:p>
            <w:pPr>
              <w:adjustRightInd w:val="0"/>
              <w:snapToGrid w:val="0"/>
              <w:jc w:val="left"/>
              <w:rPr>
                <w:rFonts w:ascii="宋体" w:hAnsi="宋体" w:eastAsia="宋体" w:cs="Times New Roman"/>
                <w:szCs w:val="21"/>
                <w:shd w:val="clear" w:color="auto" w:fill="FFFFFF"/>
              </w:rPr>
            </w:pPr>
            <w:r>
              <w:rPr>
                <w:rFonts w:hint="eastAsia" w:ascii="宋体" w:hAnsi="宋体" w:eastAsia="宋体" w:cs="宋体"/>
                <w:szCs w:val="22"/>
              </w:rPr>
              <w:t>若Ai≥B，则C=0.2；若Ai＜B，则C=0.1。</w:t>
            </w:r>
          </w:p>
        </w:tc>
        <w:tc>
          <w:tcPr>
            <w:tcW w:w="882" w:type="dxa"/>
            <w:noWrap w:val="0"/>
            <w:vAlign w:val="center"/>
          </w:tcPr>
          <w:p>
            <w:pPr>
              <w:adjustRightInd w:val="0"/>
              <w:snapToGrid w:val="0"/>
              <w:jc w:val="center"/>
              <w:rPr>
                <w:rFonts w:ascii="Times New Roman" w:hAnsi="Times New Roman" w:eastAsia="宋体" w:cs="Times New Roman"/>
                <w:szCs w:val="22"/>
              </w:rPr>
            </w:pPr>
            <w:r>
              <w:rPr>
                <w:rFonts w:hint="eastAsia" w:ascii="Times New Roman" w:hAnsi="Times New Roman" w:eastAsia="宋体" w:cs="Times New Roman"/>
                <w:szCs w:val="22"/>
              </w:rPr>
              <w:t>15</w:t>
            </w:r>
          </w:p>
        </w:tc>
      </w:tr>
    </w:tbl>
    <w:p>
      <w:pPr>
        <w:pStyle w:val="2"/>
        <w:ind w:left="0" w:leftChars="0" w:firstLine="0" w:firstLineChars="0"/>
        <w:rPr>
          <w:rFonts w:hint="default"/>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DQ2MzhlM2JjZDQ4MDIxYTNmNjNlM2MyYzU4MmYifQ=="/>
  </w:docVars>
  <w:rsids>
    <w:rsidRoot w:val="00000000"/>
    <w:rsid w:val="055C42D5"/>
    <w:rsid w:val="056A3B66"/>
    <w:rsid w:val="08422C2A"/>
    <w:rsid w:val="09080ACD"/>
    <w:rsid w:val="0A8E0502"/>
    <w:rsid w:val="0AC53097"/>
    <w:rsid w:val="0B3C0C76"/>
    <w:rsid w:val="0E887DE5"/>
    <w:rsid w:val="11B92570"/>
    <w:rsid w:val="11F97BD5"/>
    <w:rsid w:val="125E066E"/>
    <w:rsid w:val="130D0AD2"/>
    <w:rsid w:val="133A5C64"/>
    <w:rsid w:val="14185192"/>
    <w:rsid w:val="14E947BA"/>
    <w:rsid w:val="1555031F"/>
    <w:rsid w:val="15956764"/>
    <w:rsid w:val="188A6CC8"/>
    <w:rsid w:val="195B6D7B"/>
    <w:rsid w:val="199024D2"/>
    <w:rsid w:val="1B205DB7"/>
    <w:rsid w:val="1DB12A57"/>
    <w:rsid w:val="20392FAA"/>
    <w:rsid w:val="21BE0AF4"/>
    <w:rsid w:val="21E12C26"/>
    <w:rsid w:val="21FE2E9F"/>
    <w:rsid w:val="29A35435"/>
    <w:rsid w:val="29D0142A"/>
    <w:rsid w:val="2B3D0FA5"/>
    <w:rsid w:val="2C2A44D6"/>
    <w:rsid w:val="2CE91CB9"/>
    <w:rsid w:val="2FC50678"/>
    <w:rsid w:val="307E2C17"/>
    <w:rsid w:val="322455BF"/>
    <w:rsid w:val="32504F98"/>
    <w:rsid w:val="32F9738C"/>
    <w:rsid w:val="347F3AF9"/>
    <w:rsid w:val="34E40A15"/>
    <w:rsid w:val="3560310E"/>
    <w:rsid w:val="36F1055C"/>
    <w:rsid w:val="36FF0961"/>
    <w:rsid w:val="372602E1"/>
    <w:rsid w:val="381E23B5"/>
    <w:rsid w:val="3A2811D4"/>
    <w:rsid w:val="3B8C67D5"/>
    <w:rsid w:val="3CA93460"/>
    <w:rsid w:val="3D3E30AA"/>
    <w:rsid w:val="3F8A7A6D"/>
    <w:rsid w:val="3FE3779A"/>
    <w:rsid w:val="41815440"/>
    <w:rsid w:val="46D22263"/>
    <w:rsid w:val="47733476"/>
    <w:rsid w:val="49001A40"/>
    <w:rsid w:val="491077DE"/>
    <w:rsid w:val="4A1800AC"/>
    <w:rsid w:val="4B1B0052"/>
    <w:rsid w:val="4D054F7F"/>
    <w:rsid w:val="4F9A232B"/>
    <w:rsid w:val="517E51F6"/>
    <w:rsid w:val="51A0739E"/>
    <w:rsid w:val="54FB2CC1"/>
    <w:rsid w:val="55703CE5"/>
    <w:rsid w:val="55815D04"/>
    <w:rsid w:val="59422422"/>
    <w:rsid w:val="5AC93EBF"/>
    <w:rsid w:val="5B162053"/>
    <w:rsid w:val="5B6203C5"/>
    <w:rsid w:val="5D4C0AAA"/>
    <w:rsid w:val="5E292371"/>
    <w:rsid w:val="5EA87477"/>
    <w:rsid w:val="5F2545BF"/>
    <w:rsid w:val="601F5CA8"/>
    <w:rsid w:val="639556BC"/>
    <w:rsid w:val="63A30697"/>
    <w:rsid w:val="649D644E"/>
    <w:rsid w:val="6588191E"/>
    <w:rsid w:val="66453F26"/>
    <w:rsid w:val="67A95AE7"/>
    <w:rsid w:val="68870089"/>
    <w:rsid w:val="68D30E52"/>
    <w:rsid w:val="692E0AC3"/>
    <w:rsid w:val="6DBB0D2D"/>
    <w:rsid w:val="6E9447BC"/>
    <w:rsid w:val="6F2604F1"/>
    <w:rsid w:val="6FB05C5A"/>
    <w:rsid w:val="713600D6"/>
    <w:rsid w:val="71497A8C"/>
    <w:rsid w:val="740A1E8B"/>
    <w:rsid w:val="742938BD"/>
    <w:rsid w:val="786126DE"/>
    <w:rsid w:val="7AEF2638"/>
    <w:rsid w:val="7BDF1893"/>
    <w:rsid w:val="7CA4115C"/>
    <w:rsid w:val="7DB0187B"/>
    <w:rsid w:val="7DED06DF"/>
    <w:rsid w:val="7E7B708F"/>
    <w:rsid w:val="7E933184"/>
    <w:rsid w:val="7EAE23B8"/>
    <w:rsid w:val="7F9E4DB9"/>
    <w:rsid w:val="7FFC6216"/>
    <w:rsid w:val="EFBFD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A4A4A"/>
      <w:u w:val="none"/>
    </w:rPr>
  </w:style>
  <w:style w:type="character" w:styleId="8">
    <w:name w:val="Emphasis"/>
    <w:basedOn w:val="5"/>
    <w:qFormat/>
    <w:uiPriority w:val="0"/>
  </w:style>
  <w:style w:type="character" w:styleId="9">
    <w:name w:val="Hyperlink"/>
    <w:basedOn w:val="5"/>
    <w:qFormat/>
    <w:uiPriority w:val="0"/>
    <w:rPr>
      <w:color w:val="4A4A4A"/>
      <w:u w:val="none"/>
    </w:rPr>
  </w:style>
  <w:style w:type="paragraph" w:customStyle="1" w:styleId="10">
    <w:name w:val="Normal_19"/>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1607</Words>
  <Characters>1682</Characters>
  <Lines>0</Lines>
  <Paragraphs>0</Paragraphs>
  <TotalTime>8</TotalTime>
  <ScaleCrop>false</ScaleCrop>
  <LinksUpToDate>false</LinksUpToDate>
  <CharactersWithSpaces>1823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2020-08-21T10:32:00Z</dcterms:created>
  <dc:creator>wqf</dc:creator>
  <cp:lastModifiedBy>A01</cp:lastModifiedBy>
  <cp:lastPrinted>2024-11-11T11:36:42Z</cp:lastPrinted>
  <dcterms:modified xsi:type="dcterms:W3CDTF">2024-11-11T11:36:46Z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3387D102ECD54100BBB6ED5E2FBDADC4_12</vt:lpwstr>
  </property>
</Properties>
</file>