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bCs/>
          <w:sz w:val="28"/>
          <w:szCs w:val="28"/>
        </w:rPr>
      </w:pPr>
      <w:r>
        <w:rPr>
          <w:rFonts w:hint="eastAsia" w:ascii="新宋体" w:hAnsi="新宋体" w:eastAsia="新宋体"/>
          <w:b/>
          <w:bCs/>
          <w:sz w:val="28"/>
          <w:szCs w:val="28"/>
        </w:rPr>
        <w:t>《陵水土福湾A19地块</w:t>
      </w:r>
      <w:r>
        <w:rPr>
          <w:rFonts w:ascii="新宋体" w:hAnsi="新宋体" w:eastAsia="新宋体"/>
          <w:b/>
          <w:bCs/>
          <w:sz w:val="28"/>
          <w:szCs w:val="28"/>
        </w:rPr>
        <w:t>项目修建</w:t>
      </w:r>
      <w:r>
        <w:rPr>
          <w:rFonts w:hint="eastAsia" w:ascii="新宋体" w:hAnsi="新宋体" w:eastAsia="新宋体"/>
          <w:b/>
          <w:bCs/>
          <w:sz w:val="28"/>
          <w:szCs w:val="28"/>
        </w:rPr>
        <w:t>性详细规划</w:t>
      </w:r>
      <w:r>
        <w:rPr>
          <w:rFonts w:ascii="新宋体" w:hAnsi="新宋体" w:eastAsia="新宋体"/>
          <w:b/>
          <w:bCs/>
          <w:sz w:val="28"/>
          <w:szCs w:val="28"/>
        </w:rPr>
        <w:t>&gt;</w:t>
      </w:r>
    </w:p>
    <w:p>
      <w:pPr>
        <w:jc w:val="center"/>
        <w:rPr>
          <w:rFonts w:ascii="新宋体" w:hAnsi="新宋体" w:eastAsia="新宋体"/>
          <w:b/>
          <w:bCs/>
          <w:sz w:val="28"/>
          <w:szCs w:val="28"/>
        </w:rPr>
      </w:pPr>
      <w:r>
        <w:rPr>
          <w:rFonts w:ascii="新宋体" w:hAnsi="新宋体" w:eastAsia="新宋体"/>
          <w:b/>
          <w:bCs/>
          <w:sz w:val="28"/>
          <w:szCs w:val="28"/>
        </w:rPr>
        <w:t>规划公示说明</w:t>
      </w:r>
    </w:p>
    <w:p>
      <w:pPr>
        <w:rPr>
          <w:rFonts w:hint="eastAsia" w:ascii="新宋体" w:hAnsi="新宋体" w:eastAsia="新宋体"/>
          <w:sz w:val="24"/>
          <w:szCs w:val="24"/>
        </w:rPr>
      </w:pPr>
    </w:p>
    <w:p>
      <w:pPr>
        <w:rPr>
          <w:rFonts w:hint="eastAsia" w:ascii="新宋体" w:hAnsi="新宋体" w:eastAsia="新宋体"/>
          <w:sz w:val="24"/>
          <w:szCs w:val="24"/>
        </w:rPr>
      </w:pPr>
    </w:p>
    <w:p>
      <w:pPr>
        <w:rPr>
          <w:rFonts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一、项目</w:t>
      </w:r>
      <w:r>
        <w:rPr>
          <w:rFonts w:ascii="新宋体" w:hAnsi="新宋体" w:eastAsia="新宋体"/>
          <w:b/>
          <w:sz w:val="24"/>
          <w:szCs w:val="24"/>
        </w:rPr>
        <w:t>编制背景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本次修建性详细规划设计依据《</w:t>
      </w:r>
      <w:r>
        <w:rPr>
          <w:rFonts w:ascii="新宋体" w:hAnsi="新宋体" w:eastAsia="新宋体"/>
          <w:sz w:val="24"/>
          <w:szCs w:val="24"/>
        </w:rPr>
        <w:t>陵水黎族自治县土福湾控制性详细规划》所确定的控制要求，形成了本次修建性详细规划的成果。</w:t>
      </w:r>
    </w:p>
    <w:p>
      <w:pPr>
        <w:rPr>
          <w:rFonts w:hint="eastAsia" w:ascii="新宋体" w:hAnsi="新宋体" w:eastAsia="新宋体"/>
          <w:b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二、项目情况</w:t>
      </w:r>
    </w:p>
    <w:p>
      <w:pPr>
        <w:rPr>
          <w:rFonts w:ascii="新宋体" w:hAnsi="新宋体" w:eastAsia="新宋体"/>
          <w:b/>
          <w:sz w:val="24"/>
          <w:szCs w:val="24"/>
        </w:rPr>
      </w:pPr>
    </w:p>
    <w:p>
      <w:pPr>
        <w:rPr>
          <w:rFonts w:ascii="新宋体" w:hAnsi="新宋体" w:eastAsia="新宋体"/>
          <w:b/>
          <w:sz w:val="24"/>
          <w:szCs w:val="24"/>
        </w:rPr>
      </w:pPr>
      <w:r>
        <w:rPr>
          <w:rFonts w:ascii="新宋体" w:hAnsi="新宋体" w:eastAsia="新宋体"/>
          <w:b/>
          <w:sz w:val="24"/>
          <w:szCs w:val="24"/>
        </w:rPr>
        <w:t>1、</w:t>
      </w:r>
      <w:r>
        <w:rPr>
          <w:rFonts w:hint="eastAsia" w:ascii="新宋体" w:hAnsi="新宋体" w:eastAsia="新宋体"/>
          <w:b/>
          <w:sz w:val="24"/>
          <w:szCs w:val="24"/>
        </w:rPr>
        <w:t>区位与规划范围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陵水县土福湾A19地块，地块南北走向，南部为 A20 地块（酒店用地），北临 16 米市政规划，项目用地面积</w:t>
      </w:r>
      <w:r>
        <w:rPr>
          <w:rFonts w:hint="eastAsia" w:ascii="新宋体" w:hAnsi="新宋体" w:eastAsia="新宋体"/>
          <w:sz w:val="24"/>
          <w:szCs w:val="24"/>
        </w:rPr>
        <w:t>约为 10</w:t>
      </w:r>
      <w:r>
        <w:rPr>
          <w:rFonts w:hint="eastAsia" w:ascii="新宋体" w:hAnsi="新宋体" w:eastAsia="新宋体"/>
          <w:sz w:val="24"/>
          <w:szCs w:val="24"/>
        </w:rPr>
        <w:t>.4公顷。</w:t>
      </w:r>
    </w:p>
    <w:p>
      <w:pPr>
        <w:ind w:firstLine="480" w:firstLineChars="200"/>
        <w:rPr>
          <w:rFonts w:hint="eastAsia" w:ascii="新宋体" w:hAnsi="新宋体" w:eastAsia="新宋体"/>
          <w:sz w:val="24"/>
          <w:szCs w:val="24"/>
        </w:rPr>
      </w:pPr>
    </w:p>
    <w:p>
      <w:pPr>
        <w:rPr>
          <w:rFonts w:ascii="新宋体" w:hAnsi="新宋体" w:eastAsia="新宋体"/>
          <w:b/>
          <w:sz w:val="24"/>
          <w:szCs w:val="24"/>
        </w:rPr>
      </w:pPr>
      <w:r>
        <w:rPr>
          <w:rFonts w:ascii="新宋体" w:hAnsi="新宋体" w:eastAsia="新宋体"/>
          <w:b/>
          <w:sz w:val="24"/>
          <w:szCs w:val="24"/>
        </w:rPr>
        <w:t>2、规划原则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区域协调原则，尊重控规原则，突出特色原则，节能环保原则。</w:t>
      </w:r>
    </w:p>
    <w:p>
      <w:pPr>
        <w:rPr>
          <w:rFonts w:ascii="新宋体" w:hAnsi="新宋体" w:eastAsia="新宋体"/>
          <w:b/>
          <w:sz w:val="24"/>
          <w:szCs w:val="24"/>
        </w:rPr>
      </w:pPr>
    </w:p>
    <w:p>
      <w:pPr>
        <w:rPr>
          <w:rFonts w:ascii="新宋体" w:hAnsi="新宋体" w:eastAsia="新宋体"/>
          <w:b/>
          <w:sz w:val="24"/>
          <w:szCs w:val="24"/>
        </w:rPr>
      </w:pPr>
      <w:r>
        <w:rPr>
          <w:rFonts w:ascii="新宋体" w:hAnsi="新宋体" w:eastAsia="新宋体"/>
          <w:b/>
          <w:sz w:val="24"/>
          <w:szCs w:val="24"/>
        </w:rPr>
        <w:t>3、</w:t>
      </w:r>
      <w:r>
        <w:rPr>
          <w:rFonts w:hint="eastAsia" w:ascii="新宋体" w:hAnsi="新宋体" w:eastAsia="新宋体"/>
          <w:b/>
          <w:sz w:val="24"/>
          <w:szCs w:val="24"/>
        </w:rPr>
        <w:t>规划依据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《中华人民共和国城乡规划法》</w:t>
      </w:r>
      <w:r>
        <w:rPr>
          <w:rFonts w:ascii="新宋体" w:hAnsi="新宋体" w:eastAsia="新宋体"/>
          <w:sz w:val="24"/>
          <w:szCs w:val="24"/>
        </w:rPr>
        <w:t>(2019年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4月23日</w:t>
      </w:r>
      <w:r>
        <w:rPr>
          <w:rFonts w:ascii="新宋体" w:hAnsi="新宋体" w:eastAsia="新宋体"/>
          <w:sz w:val="24"/>
          <w:szCs w:val="24"/>
        </w:rPr>
        <w:t>修正)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《城市用地分类与规划建设用地标准》</w:t>
      </w:r>
      <w:r>
        <w:rPr>
          <w:rFonts w:ascii="新宋体" w:hAnsi="新宋体" w:eastAsia="新宋体"/>
          <w:sz w:val="24"/>
          <w:szCs w:val="24"/>
        </w:rPr>
        <w:t>(GB50137- 2011)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《城市规划编制办法》</w:t>
      </w:r>
      <w:r>
        <w:rPr>
          <w:rFonts w:ascii="新宋体" w:hAnsi="新宋体" w:eastAsia="新宋体"/>
          <w:sz w:val="24"/>
          <w:szCs w:val="24"/>
        </w:rPr>
        <w:t>(建设部令 [2006]第146号)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《城市居住区规划设计规范》</w:t>
      </w:r>
      <w:r>
        <w:rPr>
          <w:rFonts w:ascii="新宋体" w:hAnsi="新宋体" w:eastAsia="新宋体"/>
          <w:sz w:val="24"/>
          <w:szCs w:val="24"/>
        </w:rPr>
        <w:t>(GB50180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-</w:t>
      </w:r>
      <w:r>
        <w:rPr>
          <w:rFonts w:ascii="新宋体" w:hAnsi="新宋体" w:eastAsia="新宋体"/>
          <w:sz w:val="24"/>
          <w:szCs w:val="24"/>
        </w:rPr>
        <w:t>2018)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《海南省城乡规划条例》</w:t>
      </w:r>
      <w:r>
        <w:rPr>
          <w:rFonts w:ascii="新宋体" w:hAnsi="新宋体" w:eastAsia="新宋体"/>
          <w:sz w:val="24"/>
          <w:szCs w:val="24"/>
        </w:rPr>
        <w:t>(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2018年4月3日</w:t>
      </w:r>
      <w:r>
        <w:rPr>
          <w:rFonts w:ascii="新宋体" w:hAnsi="新宋体" w:eastAsia="新宋体"/>
          <w:sz w:val="24"/>
          <w:szCs w:val="24"/>
        </w:rPr>
        <w:t>)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《海南省人民政府关于加强城市设计和建筑风貌管理的通知》</w:t>
      </w:r>
      <w:r>
        <w:rPr>
          <w:rFonts w:ascii="新宋体" w:hAnsi="新宋体" w:eastAsia="新宋体"/>
          <w:sz w:val="24"/>
          <w:szCs w:val="24"/>
        </w:rPr>
        <w:t>(琼府(2017)15号)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《关于加强城镇规划建设管理工作的实施意见》</w:t>
      </w:r>
      <w:r>
        <w:rPr>
          <w:rFonts w:ascii="新宋体" w:hAnsi="新宋体" w:eastAsia="新宋体"/>
          <w:sz w:val="24"/>
          <w:szCs w:val="24"/>
        </w:rPr>
        <w:t>(琼发 (2016) 23号)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《关于规范我省计入容积率建筑面积计算规则的通知》</w:t>
      </w:r>
      <w:r>
        <w:rPr>
          <w:rFonts w:ascii="新宋体" w:hAnsi="新宋体" w:eastAsia="新宋体"/>
          <w:sz w:val="24"/>
          <w:szCs w:val="24"/>
        </w:rPr>
        <w:t>(琼建规函(2014) 523号)</w:t>
      </w:r>
    </w:p>
    <w:p>
      <w:pPr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  <w:lang w:val="en-US" w:eastAsia="zh-CN"/>
        </w:rPr>
        <w:t>《陵水黎族自治县总体规划（空间类2015-2030）》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《</w:t>
      </w:r>
      <w:r>
        <w:rPr>
          <w:rFonts w:ascii="新宋体" w:hAnsi="新宋体" w:eastAsia="新宋体"/>
          <w:sz w:val="24"/>
          <w:szCs w:val="24"/>
        </w:rPr>
        <w:t>陵水黎族自治县土福湾控制性详细规划》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国家及地方相关的其它规范及规定</w:t>
      </w:r>
    </w:p>
    <w:p>
      <w:pPr>
        <w:rPr>
          <w:rFonts w:ascii="新宋体" w:hAnsi="新宋体" w:eastAsia="新宋体"/>
          <w:sz w:val="24"/>
          <w:szCs w:val="24"/>
        </w:rPr>
      </w:pPr>
      <w:bookmarkStart w:id="0" w:name="_GoBack"/>
      <w:bookmarkEnd w:id="0"/>
    </w:p>
    <w:p>
      <w:pPr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b/>
          <w:sz w:val="24"/>
          <w:szCs w:val="24"/>
        </w:rPr>
        <w:t>三、主要规划成果内容</w:t>
      </w:r>
    </w:p>
    <w:p>
      <w:pPr>
        <w:rPr>
          <w:rFonts w:ascii="新宋体" w:hAnsi="新宋体" w:eastAsia="新宋体"/>
          <w:b/>
          <w:sz w:val="24"/>
          <w:szCs w:val="24"/>
        </w:rPr>
      </w:pPr>
      <w:r>
        <w:rPr>
          <w:rFonts w:ascii="新宋体" w:hAnsi="新宋体" w:eastAsia="新宋体"/>
          <w:b/>
          <w:sz w:val="24"/>
          <w:szCs w:val="24"/>
        </w:rPr>
        <w:t>1、</w:t>
      </w:r>
      <w:r>
        <w:rPr>
          <w:rFonts w:hint="eastAsia" w:ascii="新宋体" w:hAnsi="新宋体" w:eastAsia="新宋体"/>
          <w:b/>
          <w:sz w:val="24"/>
          <w:szCs w:val="24"/>
        </w:rPr>
        <w:t>规划定位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依托优质的热带滨海自然资源，以先进的滨海旅游度假区规划理念为指导，借鉴 成功的度假区项目经验，将本项目打造成为一个:</w:t>
      </w:r>
      <w:r>
        <w:rPr>
          <w:rFonts w:hint="eastAsia" w:ascii="新宋体" w:hAnsi="新宋体" w:eastAsia="新宋体"/>
          <w:sz w:val="24"/>
          <w:szCs w:val="24"/>
        </w:rPr>
        <w:t>以居住度假为主要功能，舒适宜人，极富热带海滨风情的高尚度假社区。</w:t>
      </w:r>
    </w:p>
    <w:p>
      <w:pPr>
        <w:rPr>
          <w:rFonts w:hint="eastAsia" w:ascii="新宋体" w:hAnsi="新宋体" w:eastAsia="新宋体"/>
          <w:sz w:val="24"/>
          <w:szCs w:val="24"/>
        </w:rPr>
      </w:pPr>
    </w:p>
    <w:p>
      <w:pPr>
        <w:rPr>
          <w:rFonts w:ascii="新宋体" w:hAnsi="新宋体" w:eastAsia="新宋体"/>
          <w:b/>
          <w:sz w:val="24"/>
          <w:szCs w:val="24"/>
        </w:rPr>
      </w:pPr>
      <w:r>
        <w:rPr>
          <w:rFonts w:ascii="新宋体" w:hAnsi="新宋体" w:eastAsia="新宋体"/>
          <w:b/>
          <w:sz w:val="24"/>
          <w:szCs w:val="24"/>
        </w:rPr>
        <w:t>2、发展规模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①</w:t>
      </w:r>
      <w:r>
        <w:rPr>
          <w:rFonts w:ascii="新宋体" w:hAnsi="新宋体" w:eastAsia="新宋体"/>
          <w:sz w:val="24"/>
          <w:szCs w:val="24"/>
        </w:rPr>
        <w:t>开发规模:项目占地面积约</w:t>
      </w:r>
      <w:r>
        <w:rPr>
          <w:rFonts w:hint="eastAsia" w:ascii="新宋体" w:hAnsi="新宋体" w:eastAsia="新宋体"/>
          <w:sz w:val="24"/>
          <w:szCs w:val="24"/>
        </w:rPr>
        <w:t>10.4</w:t>
      </w:r>
      <w:r>
        <w:rPr>
          <w:rFonts w:ascii="新宋体" w:hAnsi="新宋体" w:eastAsia="新宋体"/>
          <w:sz w:val="24"/>
          <w:szCs w:val="24"/>
        </w:rPr>
        <w:t>公顷，总建筑面积</w:t>
      </w:r>
      <w:r>
        <w:rPr>
          <w:rFonts w:hint="eastAsia" w:ascii="新宋体" w:hAnsi="新宋体" w:eastAsia="新宋体"/>
          <w:sz w:val="24"/>
          <w:szCs w:val="24"/>
        </w:rPr>
        <w:t>130046.59</w:t>
      </w:r>
      <w:r>
        <w:rPr>
          <w:rFonts w:ascii="新宋体" w:hAnsi="新宋体" w:eastAsia="新宋体"/>
          <w:sz w:val="24"/>
          <w:szCs w:val="24"/>
        </w:rPr>
        <w:t>平方米，其中:</w:t>
      </w:r>
      <w:r>
        <w:rPr>
          <w:rFonts w:hint="eastAsia" w:ascii="新宋体" w:hAnsi="新宋体" w:eastAsia="新宋体"/>
          <w:sz w:val="24"/>
          <w:szCs w:val="24"/>
        </w:rPr>
        <w:t>地上计容总建筑面积62350.39</w:t>
      </w:r>
      <w:r>
        <w:rPr>
          <w:rFonts w:ascii="新宋体" w:hAnsi="新宋体" w:eastAsia="新宋体"/>
          <w:sz w:val="24"/>
          <w:szCs w:val="24"/>
        </w:rPr>
        <w:t>平方米，地下总建筑面积约</w:t>
      </w:r>
      <w:r>
        <w:rPr>
          <w:rFonts w:hint="eastAsia" w:ascii="新宋体" w:hAnsi="新宋体" w:eastAsia="新宋体"/>
          <w:sz w:val="24"/>
          <w:szCs w:val="24"/>
        </w:rPr>
        <w:t>67696.20</w:t>
      </w:r>
      <w:r>
        <w:rPr>
          <w:rFonts w:ascii="新宋体" w:hAnsi="新宋体" w:eastAsia="新宋体"/>
          <w:sz w:val="24"/>
          <w:szCs w:val="24"/>
        </w:rPr>
        <w:t>平方米，容积率</w:t>
      </w:r>
      <w:r>
        <w:rPr>
          <w:rFonts w:hint="eastAsia" w:ascii="新宋体" w:hAnsi="新宋体" w:eastAsia="新宋体"/>
          <w:sz w:val="24"/>
          <w:szCs w:val="24"/>
        </w:rPr>
        <w:t>0.6</w:t>
      </w:r>
      <w:r>
        <w:rPr>
          <w:rFonts w:ascii="新宋体" w:hAnsi="新宋体" w:eastAsia="新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②</w:t>
      </w:r>
      <w:r>
        <w:rPr>
          <w:rFonts w:ascii="新宋体" w:hAnsi="新宋体" w:eastAsia="新宋体"/>
          <w:sz w:val="24"/>
          <w:szCs w:val="24"/>
        </w:rPr>
        <w:t>人口规模:本项目可容纳总人口约</w:t>
      </w:r>
      <w:r>
        <w:rPr>
          <w:rFonts w:hint="eastAsia" w:ascii="新宋体" w:hAnsi="新宋体" w:eastAsia="新宋体"/>
          <w:sz w:val="24"/>
          <w:szCs w:val="24"/>
        </w:rPr>
        <w:t>1597</w:t>
      </w:r>
      <w:r>
        <w:rPr>
          <w:rFonts w:ascii="新宋体" w:hAnsi="新宋体" w:eastAsia="新宋体"/>
          <w:sz w:val="24"/>
          <w:szCs w:val="24"/>
        </w:rPr>
        <w:t>人。</w:t>
      </w:r>
    </w:p>
    <w:p>
      <w:pPr>
        <w:rPr>
          <w:rFonts w:ascii="新宋体" w:hAnsi="新宋体" w:eastAsia="新宋体"/>
          <w:b/>
          <w:sz w:val="24"/>
          <w:szCs w:val="24"/>
        </w:rPr>
      </w:pPr>
      <w:r>
        <w:rPr>
          <w:rFonts w:ascii="新宋体" w:hAnsi="新宋体" w:eastAsia="新宋体"/>
          <w:b/>
          <w:sz w:val="24"/>
          <w:szCs w:val="24"/>
        </w:rPr>
        <w:t>3、</w:t>
      </w:r>
      <w:r>
        <w:rPr>
          <w:rFonts w:hint="eastAsia" w:ascii="新宋体" w:hAnsi="新宋体" w:eastAsia="新宋体"/>
          <w:b/>
          <w:sz w:val="24"/>
          <w:szCs w:val="24"/>
        </w:rPr>
        <w:t>总平面设计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①交通组织</w:t>
      </w:r>
      <w:r>
        <w:rPr>
          <w:rFonts w:ascii="新宋体" w:hAnsi="新宋体" w:eastAsia="新宋体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规划强调“人车分流”，在地块西侧沿路布置一个主要出入口，机动车通过主入口后沿地块外围的辅路可进入地下车库。北侧市政道路</w:t>
      </w:r>
      <w:r>
        <w:rPr>
          <w:rFonts w:ascii="新宋体" w:hAnsi="新宋体" w:eastAsia="新宋体"/>
          <w:sz w:val="24"/>
          <w:szCs w:val="24"/>
        </w:rPr>
        <w:t>布置一个人行</w:t>
      </w:r>
      <w:r>
        <w:rPr>
          <w:rFonts w:hint="eastAsia" w:ascii="新宋体" w:hAnsi="新宋体" w:eastAsia="新宋体"/>
          <w:sz w:val="24"/>
          <w:szCs w:val="24"/>
        </w:rPr>
        <w:t>主要</w:t>
      </w:r>
      <w:r>
        <w:rPr>
          <w:rFonts w:ascii="新宋体" w:hAnsi="新宋体" w:eastAsia="新宋体"/>
          <w:sz w:val="24"/>
          <w:szCs w:val="24"/>
        </w:rPr>
        <w:t>出</w:t>
      </w:r>
      <w:r>
        <w:rPr>
          <w:rFonts w:hint="eastAsia" w:ascii="新宋体" w:hAnsi="新宋体" w:eastAsia="新宋体"/>
          <w:sz w:val="24"/>
          <w:szCs w:val="24"/>
        </w:rPr>
        <w:t>入口</w:t>
      </w:r>
      <w:r>
        <w:rPr>
          <w:rFonts w:ascii="新宋体" w:hAnsi="新宋体" w:eastAsia="新宋体"/>
          <w:sz w:val="24"/>
          <w:szCs w:val="24"/>
        </w:rPr>
        <w:t>，并与地块</w:t>
      </w:r>
      <w:r>
        <w:rPr>
          <w:rFonts w:hint="eastAsia" w:ascii="新宋体" w:hAnsi="新宋体" w:eastAsia="新宋体"/>
          <w:sz w:val="24"/>
          <w:szCs w:val="24"/>
        </w:rPr>
        <w:t>北侧的公共开放绿地广场相连</w:t>
      </w:r>
      <w:r>
        <w:rPr>
          <w:rFonts w:ascii="新宋体" w:hAnsi="新宋体" w:eastAsia="新宋体"/>
          <w:sz w:val="24"/>
          <w:szCs w:val="24"/>
        </w:rPr>
        <w:t>。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②空间布局</w:t>
      </w:r>
      <w:r>
        <w:rPr>
          <w:rFonts w:ascii="新宋体" w:hAnsi="新宋体" w:eastAsia="新宋体"/>
          <w:sz w:val="24"/>
          <w:szCs w:val="24"/>
        </w:rPr>
        <w:t>:</w:t>
      </w:r>
    </w:p>
    <w:p>
      <w:pPr>
        <w:ind w:firstLine="480" w:firstLineChars="200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规划海滨城市旅游的布局特点，住宅采用多层建筑南北向和东西朝向结合，相互组合形成多个组团和多个较集中的中心花园绿地，作为为居民健身、休憩和活动场地，整体空间布局呈不规则轴线对称，体现轴线序列和空间进退特色。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③环境景观</w:t>
      </w:r>
      <w:r>
        <w:rPr>
          <w:rFonts w:ascii="新宋体" w:hAnsi="新宋体" w:eastAsia="新宋体"/>
          <w:sz w:val="24"/>
          <w:szCs w:val="24"/>
        </w:rPr>
        <w:t xml:space="preserve">: </w:t>
      </w:r>
    </w:p>
    <w:p>
      <w:pPr>
        <w:ind w:firstLine="480" w:firstLineChars="200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重点打造住宅由集中绿地、小广场、中心带状景观通廊和地块中部由会所、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泳池、中心花园形成的中心景观花园。北侧人行入口结合泳池和道路形成最重要的景观中轴线。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④公共配套</w:t>
      </w:r>
      <w:r>
        <w:rPr>
          <w:rFonts w:ascii="新宋体" w:hAnsi="新宋体" w:eastAsia="新宋体"/>
          <w:sz w:val="24"/>
          <w:szCs w:val="24"/>
        </w:rPr>
        <w:t>:</w:t>
      </w:r>
    </w:p>
    <w:p>
      <w:pPr>
        <w:ind w:firstLine="480" w:firstLineChars="200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规划在西北角结合绿地布置一个公共配套用房，作为公共服务中心。公共配套用房结合组团内的景观节点和人行主入口，形成地块内的标志性景观节点。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⑤城市风貌</w:t>
      </w:r>
      <w:r>
        <w:rPr>
          <w:rFonts w:ascii="新宋体" w:hAnsi="新宋体" w:eastAsia="新宋体"/>
          <w:sz w:val="24"/>
          <w:szCs w:val="24"/>
        </w:rPr>
        <w:t>:</w:t>
      </w:r>
    </w:p>
    <w:p>
      <w:pPr>
        <w:ind w:firstLine="480" w:firstLineChars="200"/>
        <w:rPr>
          <w:rFonts w:hint="eastAsia"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建筑采用坡屋顶，建筑风格为新中式风格，体现热带滨海度假风情。园林绿化多选用具有观赏价值和防风功能的棕桐科本土树种，注重色彩与形态的搭配，乔、灌、花、草相结合，避免大面积的草地和铺装，营造椰树婆娑、郁郁葱葱的热带滨海特色。</w:t>
      </w:r>
    </w:p>
    <w:p>
      <w:pPr>
        <w:rPr>
          <w:rFonts w:ascii="新宋体" w:hAnsi="新宋体" w:eastAsia="新宋体"/>
          <w:b/>
          <w:sz w:val="24"/>
          <w:szCs w:val="24"/>
        </w:rPr>
      </w:pPr>
    </w:p>
    <w:p>
      <w:pPr>
        <w:rPr>
          <w:rFonts w:ascii="新宋体" w:hAnsi="新宋体" w:eastAsia="新宋体"/>
          <w:b/>
          <w:sz w:val="24"/>
          <w:szCs w:val="24"/>
        </w:rPr>
      </w:pPr>
      <w:r>
        <w:rPr>
          <w:rFonts w:ascii="新宋体" w:hAnsi="新宋体" w:eastAsia="新宋体"/>
          <w:b/>
          <w:sz w:val="24"/>
          <w:szCs w:val="24"/>
        </w:rPr>
        <w:t>4、</w:t>
      </w:r>
      <w:r>
        <w:rPr>
          <w:rFonts w:hint="eastAsia" w:ascii="新宋体" w:hAnsi="新宋体" w:eastAsia="新宋体"/>
          <w:b/>
          <w:sz w:val="24"/>
          <w:szCs w:val="24"/>
        </w:rPr>
        <w:t>建筑单体设计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①平面设计</w:t>
      </w:r>
    </w:p>
    <w:p>
      <w:pPr>
        <w:ind w:firstLine="480" w:firstLineChars="200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本项目住宅建筑户型面积约123</w:t>
      </w:r>
      <w:r>
        <w:rPr>
          <w:rFonts w:ascii="新宋体" w:hAnsi="新宋体" w:eastAsia="新宋体"/>
          <w:sz w:val="24"/>
          <w:szCs w:val="24"/>
        </w:rPr>
        <w:t>平方米。 户型设计注重舒适性，私密性和整体性，结</w:t>
      </w:r>
      <w:r>
        <w:rPr>
          <w:rFonts w:hint="eastAsia" w:ascii="新宋体" w:hAnsi="新宋体" w:eastAsia="新宋体"/>
          <w:sz w:val="24"/>
          <w:szCs w:val="24"/>
        </w:rPr>
        <w:t>合使用功能以及住户的居住习惯，注重户型尺度符合人的行为要求，合理兼顾度假与长居的双重需求，设计多储物多居室的户型空间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②造型设计</w:t>
      </w:r>
    </w:p>
    <w:p>
      <w:pPr>
        <w:ind w:firstLine="480" w:firstLineChars="200"/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本项目建筑统一采用坡屋顶，</w:t>
      </w:r>
      <w:r>
        <w:rPr>
          <w:rFonts w:ascii="新宋体" w:hAnsi="新宋体" w:eastAsia="新宋体"/>
          <w:sz w:val="24"/>
          <w:szCs w:val="24"/>
        </w:rPr>
        <w:t xml:space="preserve"> 新</w:t>
      </w:r>
      <w:r>
        <w:rPr>
          <w:rFonts w:hint="eastAsia" w:ascii="新宋体" w:hAnsi="新宋体" w:eastAsia="新宋体"/>
          <w:sz w:val="24"/>
          <w:szCs w:val="24"/>
        </w:rPr>
        <w:t>中式</w:t>
      </w:r>
      <w:r>
        <w:rPr>
          <w:rFonts w:ascii="新宋体" w:hAnsi="新宋体" w:eastAsia="新宋体"/>
          <w:sz w:val="24"/>
          <w:szCs w:val="24"/>
        </w:rPr>
        <w:t>建筑风格，在保证建筑体量完整性的基础上，</w:t>
      </w:r>
      <w:r>
        <w:rPr>
          <w:rFonts w:hint="eastAsia" w:ascii="新宋体" w:hAnsi="新宋体" w:eastAsia="新宋体"/>
          <w:sz w:val="24"/>
          <w:szCs w:val="24"/>
        </w:rPr>
        <w:t>在主要立面上强调中轴对称的秩序感，从而形成庄重典雅的立面效果，形成富有变化的建筑立面造型。</w:t>
      </w:r>
    </w:p>
    <w:p>
      <w:pPr>
        <w:rPr>
          <w:rFonts w:ascii="新宋体" w:hAnsi="新宋体" w:eastAsia="新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5BF"/>
    <w:rsid w:val="000207FC"/>
    <w:rsid w:val="000935BF"/>
    <w:rsid w:val="001732A1"/>
    <w:rsid w:val="00180671"/>
    <w:rsid w:val="001F4CE6"/>
    <w:rsid w:val="002443F6"/>
    <w:rsid w:val="002472AE"/>
    <w:rsid w:val="00342855"/>
    <w:rsid w:val="00386E49"/>
    <w:rsid w:val="003C5876"/>
    <w:rsid w:val="003E72F5"/>
    <w:rsid w:val="00486EE8"/>
    <w:rsid w:val="00492B1D"/>
    <w:rsid w:val="004F787A"/>
    <w:rsid w:val="00553EDD"/>
    <w:rsid w:val="005A63FA"/>
    <w:rsid w:val="005E60A7"/>
    <w:rsid w:val="00630AEE"/>
    <w:rsid w:val="00644A1D"/>
    <w:rsid w:val="00644D23"/>
    <w:rsid w:val="006E3DC0"/>
    <w:rsid w:val="007C7933"/>
    <w:rsid w:val="008019BA"/>
    <w:rsid w:val="00823A5D"/>
    <w:rsid w:val="00837554"/>
    <w:rsid w:val="008B2667"/>
    <w:rsid w:val="00966E23"/>
    <w:rsid w:val="009D0FB9"/>
    <w:rsid w:val="00A30202"/>
    <w:rsid w:val="00AA68B9"/>
    <w:rsid w:val="00AF0201"/>
    <w:rsid w:val="00B07C0C"/>
    <w:rsid w:val="00B3366B"/>
    <w:rsid w:val="00B453FC"/>
    <w:rsid w:val="00B70D0C"/>
    <w:rsid w:val="00BC2CA3"/>
    <w:rsid w:val="00BF6251"/>
    <w:rsid w:val="00C37677"/>
    <w:rsid w:val="00C93C73"/>
    <w:rsid w:val="00C95CA0"/>
    <w:rsid w:val="00CB6274"/>
    <w:rsid w:val="00E10D22"/>
    <w:rsid w:val="00E76313"/>
    <w:rsid w:val="00EA026E"/>
    <w:rsid w:val="00EE505D"/>
    <w:rsid w:val="00F05601"/>
    <w:rsid w:val="00F42475"/>
    <w:rsid w:val="00F779B9"/>
    <w:rsid w:val="00FB0FD2"/>
    <w:rsid w:val="00FE27B3"/>
    <w:rsid w:val="17436CF9"/>
    <w:rsid w:val="303A1E0C"/>
    <w:rsid w:val="44216C4A"/>
    <w:rsid w:val="55177E86"/>
    <w:rsid w:val="7E9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229</Words>
  <Characters>1306</Characters>
  <Lines>10</Lines>
  <Paragraphs>3</Paragraphs>
  <TotalTime>2</TotalTime>
  <ScaleCrop>false</ScaleCrop>
  <LinksUpToDate>false</LinksUpToDate>
  <CharactersWithSpaces>1532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2020-06-24T06:24:00Z</dcterms:created>
  <dc:creator>Administrator</dc:creator>
  <cp:lastModifiedBy>lenovo</cp:lastModifiedBy>
  <dcterms:modified xsi:type="dcterms:W3CDTF">2020-07-01T01:13:17Z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