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ind w:firstLine="0" w:firstLineChars="0"/>
        <w:rPr>
          <w:rFonts w:hint="eastAsia" w:ascii="黑体" w:hAnsi="黑体" w:eastAsia="黑体" w:cs="黑体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</w:pPr>
      <w:bookmarkStart w:id="0" w:name="_Toc176806615"/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附件3</w:t>
      </w:r>
      <w:bookmarkStart w:id="2" w:name="_GoBack"/>
      <w:bookmarkEnd w:id="2"/>
    </w:p>
    <w:bookmarkEnd w:id="0"/>
    <w:p>
      <w:pPr>
        <w:spacing w:before="297" w:beforeLines="50" w:after="0" w:afterLines="0"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 w:bidi="ar"/>
        </w:rPr>
      </w:pPr>
      <w:bookmarkStart w:id="1" w:name="_Toc176806618"/>
    </w:p>
    <w:p>
      <w:pPr>
        <w:spacing w:before="297" w:beforeLines="50" w:after="0" w:afterLines="0" w:line="60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 w:bidi="ar"/>
        </w:rPr>
        <w:t>2024年度海南省政务新媒体专项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 w:bidi="ar"/>
        </w:rPr>
        <w:br w:type="textWrapping"/>
      </w:r>
      <w:r>
        <w:rPr>
          <w:rFonts w:hint="eastAsia" w:ascii="方正小标宋_GBK" w:hAnsi="方正小标宋_GBK" w:eastAsia="方正小标宋_GBK" w:cs="方正小标宋_GBK"/>
          <w:bCs/>
          <w:kern w:val="0"/>
          <w:sz w:val="40"/>
          <w:szCs w:val="40"/>
          <w:lang w:val="en-US" w:eastAsia="zh-CN" w:bidi="ar"/>
        </w:rPr>
        <w:t>评估指标及评分细则</w:t>
      </w:r>
      <w:bookmarkEnd w:id="1"/>
    </w:p>
    <w:p>
      <w:pPr>
        <w:pStyle w:val="2"/>
        <w:rPr>
          <w:rFonts w:hint="eastAsia"/>
          <w:lang w:val="en-US" w:eastAsia="zh-CN"/>
        </w:rPr>
      </w:pPr>
    </w:p>
    <w:p>
      <w:pPr>
        <w:ind w:firstLine="420"/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  <w:t>指标说明：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  <w:t>政务新媒体评估对象为各单位开设的“两微一端”渠道。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  <w:t>政务新媒体评估总分为已开设的“两微一端”渠道得分加权汇总后的得分，各渠道权重比例采用德尔菲法形式确定。总分具体计算公式如下：</w:t>
      </w:r>
    </w:p>
    <w:p>
      <w:pPr>
        <w:spacing w:line="273" w:lineRule="auto"/>
        <w:ind w:firstLine="420"/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  <w:t>1.若评估对象开设上述三类政务新媒体，则总分=政务微信得分*40%+政务微博得分*20%+移动客户端得分*40%。</w:t>
      </w:r>
    </w:p>
    <w:p>
      <w:pPr>
        <w:spacing w:line="273" w:lineRule="auto"/>
        <w:ind w:firstLine="420"/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  <w:t>2.若评估对象开设上述两类政务新媒体，则按照不同类型，综合评价结果如下：</w:t>
      </w:r>
    </w:p>
    <w:p>
      <w:pPr>
        <w:spacing w:line="273" w:lineRule="auto"/>
        <w:ind w:firstLine="584" w:firstLineChars="175"/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  <w:t>（1）总分=政务微信得分*65%+政务微博得分*35%</w:t>
      </w:r>
    </w:p>
    <w:p>
      <w:pPr>
        <w:spacing w:line="273" w:lineRule="auto"/>
        <w:ind w:firstLine="584" w:firstLineChars="175"/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  <w:t>（2）总分=政务微信得分*50%+移动客户端得分*50%</w:t>
      </w:r>
    </w:p>
    <w:p>
      <w:pPr>
        <w:spacing w:line="273" w:lineRule="auto"/>
        <w:ind w:firstLine="584" w:firstLineChars="175"/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  <w:t>（3）总分=政务微博得分*35%+移动客户端得分*65%</w:t>
      </w:r>
    </w:p>
    <w:p>
      <w:pPr>
        <w:spacing w:line="273" w:lineRule="auto"/>
        <w:ind w:firstLine="420"/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  <w:t>3.若评估对象开设上述某一类政务新媒体，则总分为该类政务新媒体的得分。</w:t>
      </w:r>
    </w:p>
    <w:tbl>
      <w:tblPr>
        <w:tblStyle w:val="17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5"/>
        <w:gridCol w:w="5107"/>
        <w:gridCol w:w="705"/>
        <w:gridCol w:w="57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一级指标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二级指标</w:t>
            </w:r>
          </w:p>
        </w:tc>
        <w:tc>
          <w:tcPr>
            <w:tcW w:w="51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评分细则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App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微博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发布解读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信</w:t>
            </w:r>
            <w:r>
              <w:rPr>
                <w:rFonts w:hint="eastAsia" w:ascii="仿宋_GB2312" w:hAnsi="Calibri" w:eastAsia="仿宋_GB2312" w:cs="仿宋_GB2312"/>
                <w:sz w:val="26"/>
                <w:szCs w:val="26"/>
                <w:lang w:val="en-US" w:eastAsia="zh-CN" w:bidi="ar-SA"/>
              </w:rPr>
              <w:t>息更新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政务新媒体信息更新情况：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是否实现每周至少更新1次（微信服务号每2周更新1次）。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政务新媒体信息发布情况：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1.是否发布动态、政策文件、政策解读、回应关切类政务信息；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2.是否发布重点（民生）领域、疫情防控、乡村振兴等工作情况信息；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3.是否存在与机构职责相关度不高的信息；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4.是否存在内容发布不当、刊登或链接商业广告等情况。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服务质量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政务新媒体的办事服务提供情况：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1.是否提供本部门、本地区行政审批事项的办事指南；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2.是否提供办事指南中涉及的申请表格下载及填写示范；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3.是否提供在线预约、在线办理等在线办事服务；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4.是否提供适配政务新媒体的办事服务，而不是简单跳转到互联网政务服务平台；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5.政务新媒体办事服务是否与互联网政务服务平台数据同源、服务同根、一次认证、一网通办。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—-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查询服务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政务新媒体的查询服务提供情况：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1.是否提供本部门、本地区便民服务类、数据类查询服务；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2.是否提供适配政务新媒体的查询服务，而不是简单跳转到互联网政务服务平台；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3.政务新媒体查询服务是否与互联网政务服务平台数据同源、服务同根、一次认证、一网通办。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功能可用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政务新媒体的功能可用性情况：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1.提供的服务功能是否能够正常使用；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2.提供的链接是否可用。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互动效果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留言审查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政务新媒体的留言审查情况：是否存在留言审查不到位，留言区出现不当留言的情况。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留言回复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政务新媒体留言回复情况：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1.留言回复是否及时；【注：政务微博不考核该评估要点。】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2.公开的留言回复是否存在不当情况。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意见反馈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政务新媒体意见反馈情况：利用新媒体渠道开展意见征集调查活动，并及时公开活动开展统计情况及结果采纳情况。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管理规范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集约开设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政务新媒体集约开设情况：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是否按照一单位一平台一账号的原则进行集约开设。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认证规范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政务新媒体认证规范性情况：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1.是否以本单位机构名称或单位工作职责关联命名；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2.不同平台的政务新媒体名称是否保持一致；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3.是否在公开认证信息中标明主办单位名称，机构调整后账号信息是否及时更新。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安全管理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政务新媒体内容安全管理情况。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平台功能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搜索功能</w:t>
            </w:r>
          </w:p>
        </w:tc>
        <w:tc>
          <w:tcPr>
            <w:tcW w:w="51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政务新媒体搜索功能情况：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1.是否提供搜索功能；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2.搜索结果是否准确、可靠；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3.搜索功能是否便捷、智能。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——</w:t>
            </w:r>
          </w:p>
        </w:tc>
      </w:tr>
    </w:tbl>
    <w:p>
      <w:pPr>
        <w:ind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  <w:sectPr>
          <w:headerReference r:id="rId5" w:type="default"/>
          <w:footerReference r:id="rId6" w:type="default"/>
          <w:pgSz w:w="11906" w:h="16838"/>
          <w:pgMar w:top="2041" w:right="1531" w:bottom="2041" w:left="1531" w:header="851" w:footer="113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>
      <w:pPr>
        <w:ind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spacing w:val="7"/>
          <w:kern w:val="2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yOWFlMGU2NTJjMzhmYWRkNTQ4OTYzOTZiNDAxMWUifQ=="/>
  </w:docVars>
  <w:rsids>
    <w:rsidRoot w:val="001C2FE5"/>
    <w:rsid w:val="00000E0E"/>
    <w:rsid w:val="00014A5F"/>
    <w:rsid w:val="00024895"/>
    <w:rsid w:val="00024C3E"/>
    <w:rsid w:val="00033CF5"/>
    <w:rsid w:val="00034748"/>
    <w:rsid w:val="00053893"/>
    <w:rsid w:val="0005775A"/>
    <w:rsid w:val="000D0578"/>
    <w:rsid w:val="000D42F7"/>
    <w:rsid w:val="000E7183"/>
    <w:rsid w:val="000F439C"/>
    <w:rsid w:val="00143267"/>
    <w:rsid w:val="00153558"/>
    <w:rsid w:val="00157276"/>
    <w:rsid w:val="00170B8D"/>
    <w:rsid w:val="00171D98"/>
    <w:rsid w:val="0018516A"/>
    <w:rsid w:val="0018694B"/>
    <w:rsid w:val="00193207"/>
    <w:rsid w:val="001B2626"/>
    <w:rsid w:val="001C1978"/>
    <w:rsid w:val="001C2FE5"/>
    <w:rsid w:val="001F5F69"/>
    <w:rsid w:val="00204934"/>
    <w:rsid w:val="00207916"/>
    <w:rsid w:val="00226418"/>
    <w:rsid w:val="002674AC"/>
    <w:rsid w:val="0028154A"/>
    <w:rsid w:val="002A089D"/>
    <w:rsid w:val="002B55E2"/>
    <w:rsid w:val="002B6A6B"/>
    <w:rsid w:val="002E215B"/>
    <w:rsid w:val="002F5675"/>
    <w:rsid w:val="00304C0F"/>
    <w:rsid w:val="0035250F"/>
    <w:rsid w:val="00367458"/>
    <w:rsid w:val="00370CE9"/>
    <w:rsid w:val="00382FA3"/>
    <w:rsid w:val="00392AD7"/>
    <w:rsid w:val="003D0A47"/>
    <w:rsid w:val="003D192D"/>
    <w:rsid w:val="003E639B"/>
    <w:rsid w:val="00411AF4"/>
    <w:rsid w:val="004175ED"/>
    <w:rsid w:val="00425B46"/>
    <w:rsid w:val="004356EF"/>
    <w:rsid w:val="00445D01"/>
    <w:rsid w:val="004546FB"/>
    <w:rsid w:val="00471BCF"/>
    <w:rsid w:val="00472ADB"/>
    <w:rsid w:val="0047672E"/>
    <w:rsid w:val="004777C4"/>
    <w:rsid w:val="00487423"/>
    <w:rsid w:val="004A5527"/>
    <w:rsid w:val="004B4D1C"/>
    <w:rsid w:val="004C4807"/>
    <w:rsid w:val="004C5D34"/>
    <w:rsid w:val="004C690C"/>
    <w:rsid w:val="004D2122"/>
    <w:rsid w:val="004E41DE"/>
    <w:rsid w:val="004E64C3"/>
    <w:rsid w:val="004F08F8"/>
    <w:rsid w:val="004F2846"/>
    <w:rsid w:val="005024F1"/>
    <w:rsid w:val="005033CF"/>
    <w:rsid w:val="0054069F"/>
    <w:rsid w:val="00563F53"/>
    <w:rsid w:val="00567593"/>
    <w:rsid w:val="005B5A86"/>
    <w:rsid w:val="005D35E1"/>
    <w:rsid w:val="005D7853"/>
    <w:rsid w:val="005E60B3"/>
    <w:rsid w:val="00616AA8"/>
    <w:rsid w:val="00634991"/>
    <w:rsid w:val="00637E1F"/>
    <w:rsid w:val="006412FE"/>
    <w:rsid w:val="006835CE"/>
    <w:rsid w:val="0069163E"/>
    <w:rsid w:val="006A2F14"/>
    <w:rsid w:val="006A59C7"/>
    <w:rsid w:val="006B3F05"/>
    <w:rsid w:val="006D5423"/>
    <w:rsid w:val="007216B8"/>
    <w:rsid w:val="00756223"/>
    <w:rsid w:val="00773161"/>
    <w:rsid w:val="00787C77"/>
    <w:rsid w:val="00796EDC"/>
    <w:rsid w:val="007A131B"/>
    <w:rsid w:val="007E3B0B"/>
    <w:rsid w:val="008164DE"/>
    <w:rsid w:val="00827E7F"/>
    <w:rsid w:val="00831D2C"/>
    <w:rsid w:val="00844A06"/>
    <w:rsid w:val="008457C6"/>
    <w:rsid w:val="00861060"/>
    <w:rsid w:val="00870790"/>
    <w:rsid w:val="008A0765"/>
    <w:rsid w:val="008A309C"/>
    <w:rsid w:val="008A764C"/>
    <w:rsid w:val="008B0FF4"/>
    <w:rsid w:val="008B30B6"/>
    <w:rsid w:val="008C16B7"/>
    <w:rsid w:val="008D3B80"/>
    <w:rsid w:val="008D47BB"/>
    <w:rsid w:val="008E1FAF"/>
    <w:rsid w:val="008F118A"/>
    <w:rsid w:val="009227F9"/>
    <w:rsid w:val="00940193"/>
    <w:rsid w:val="0094683E"/>
    <w:rsid w:val="00952896"/>
    <w:rsid w:val="00961CF7"/>
    <w:rsid w:val="0097380F"/>
    <w:rsid w:val="009738E9"/>
    <w:rsid w:val="00977289"/>
    <w:rsid w:val="0098718B"/>
    <w:rsid w:val="00996EFB"/>
    <w:rsid w:val="009A5E1A"/>
    <w:rsid w:val="009A6771"/>
    <w:rsid w:val="009B30FC"/>
    <w:rsid w:val="009C145E"/>
    <w:rsid w:val="009D0529"/>
    <w:rsid w:val="009D49BF"/>
    <w:rsid w:val="009E2D5C"/>
    <w:rsid w:val="00A002D8"/>
    <w:rsid w:val="00A01D18"/>
    <w:rsid w:val="00A06E2C"/>
    <w:rsid w:val="00A311CC"/>
    <w:rsid w:val="00A645A0"/>
    <w:rsid w:val="00A74E78"/>
    <w:rsid w:val="00AA7E6D"/>
    <w:rsid w:val="00AB6B86"/>
    <w:rsid w:val="00AD0C63"/>
    <w:rsid w:val="00AE32DF"/>
    <w:rsid w:val="00B13DAA"/>
    <w:rsid w:val="00B22ACD"/>
    <w:rsid w:val="00B41296"/>
    <w:rsid w:val="00B6431B"/>
    <w:rsid w:val="00B9240D"/>
    <w:rsid w:val="00B9695B"/>
    <w:rsid w:val="00BB4C51"/>
    <w:rsid w:val="00BD63AD"/>
    <w:rsid w:val="00BE3BCA"/>
    <w:rsid w:val="00BE600D"/>
    <w:rsid w:val="00BE70FC"/>
    <w:rsid w:val="00BF6EDC"/>
    <w:rsid w:val="00C04706"/>
    <w:rsid w:val="00C11950"/>
    <w:rsid w:val="00C163AD"/>
    <w:rsid w:val="00C341AA"/>
    <w:rsid w:val="00C512FC"/>
    <w:rsid w:val="00C66DC0"/>
    <w:rsid w:val="00CB4756"/>
    <w:rsid w:val="00D01A44"/>
    <w:rsid w:val="00D275B3"/>
    <w:rsid w:val="00D27FFC"/>
    <w:rsid w:val="00D35742"/>
    <w:rsid w:val="00D42E36"/>
    <w:rsid w:val="00D4515F"/>
    <w:rsid w:val="00D47629"/>
    <w:rsid w:val="00D633C5"/>
    <w:rsid w:val="00D72F4C"/>
    <w:rsid w:val="00D75740"/>
    <w:rsid w:val="00D97A0D"/>
    <w:rsid w:val="00DB1615"/>
    <w:rsid w:val="00DB607B"/>
    <w:rsid w:val="00DC3EC2"/>
    <w:rsid w:val="00DD43F0"/>
    <w:rsid w:val="00DF4994"/>
    <w:rsid w:val="00E0295A"/>
    <w:rsid w:val="00E038B2"/>
    <w:rsid w:val="00E10A6D"/>
    <w:rsid w:val="00E137CF"/>
    <w:rsid w:val="00E17544"/>
    <w:rsid w:val="00E200DF"/>
    <w:rsid w:val="00E24BB7"/>
    <w:rsid w:val="00E305AB"/>
    <w:rsid w:val="00E438BF"/>
    <w:rsid w:val="00E51294"/>
    <w:rsid w:val="00E530C5"/>
    <w:rsid w:val="00E80D4A"/>
    <w:rsid w:val="00E83390"/>
    <w:rsid w:val="00E83E95"/>
    <w:rsid w:val="00EE56A5"/>
    <w:rsid w:val="00EF107E"/>
    <w:rsid w:val="00F07A76"/>
    <w:rsid w:val="00F10598"/>
    <w:rsid w:val="00F14ED7"/>
    <w:rsid w:val="00F2363B"/>
    <w:rsid w:val="00F34446"/>
    <w:rsid w:val="00F46B44"/>
    <w:rsid w:val="00F8737F"/>
    <w:rsid w:val="00FD5763"/>
    <w:rsid w:val="00FE2076"/>
    <w:rsid w:val="00FF5755"/>
    <w:rsid w:val="017C0E27"/>
    <w:rsid w:val="1CC424C0"/>
    <w:rsid w:val="1E598B68"/>
    <w:rsid w:val="26BA1C25"/>
    <w:rsid w:val="29CE1EA1"/>
    <w:rsid w:val="3A645786"/>
    <w:rsid w:val="3B77509E"/>
    <w:rsid w:val="40065F3B"/>
    <w:rsid w:val="4BB766CC"/>
    <w:rsid w:val="5ABA1AE9"/>
    <w:rsid w:val="5BAE1294"/>
    <w:rsid w:val="5F307916"/>
    <w:rsid w:val="5F430750"/>
    <w:rsid w:val="6CFB2523"/>
    <w:rsid w:val="6E4FD171"/>
    <w:rsid w:val="729D1CC7"/>
    <w:rsid w:val="730F117B"/>
    <w:rsid w:val="7F1E6771"/>
    <w:rsid w:val="7F58A7CA"/>
    <w:rsid w:val="F9B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5">
    <w:name w:val="heading 2"/>
    <w:basedOn w:val="1"/>
    <w:next w:val="1"/>
    <w:link w:val="22"/>
    <w:unhideWhenUsed/>
    <w:qFormat/>
    <w:uiPriority w:val="9"/>
    <w:pPr>
      <w:keepNext/>
      <w:keepLines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6">
    <w:name w:val="heading 3"/>
    <w:basedOn w:val="1"/>
    <w:next w:val="1"/>
    <w:link w:val="23"/>
    <w:unhideWhenUsed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Times New Roman"/>
      <w:b/>
      <w:bCs/>
      <w:kern w:val="28"/>
      <w:lang w:bidi="ar-SA"/>
    </w:rPr>
  </w:style>
  <w:style w:type="paragraph" w:styleId="7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8">
    <w:name w:val="annotation text"/>
    <w:basedOn w:val="1"/>
    <w:link w:val="24"/>
    <w:qFormat/>
    <w:uiPriority w:val="0"/>
    <w:pPr>
      <w:widowControl/>
      <w:ind w:firstLine="0" w:firstLineChars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paragraph" w:styleId="16">
    <w:name w:val="annotation subject"/>
    <w:basedOn w:val="8"/>
    <w:next w:val="8"/>
    <w:link w:val="29"/>
    <w:semiHidden/>
    <w:unhideWhenUsed/>
    <w:qFormat/>
    <w:uiPriority w:val="99"/>
    <w:pPr>
      <w:widowControl w:val="0"/>
      <w:ind w:firstLine="200" w:firstLineChars="200"/>
    </w:pPr>
    <w:rPr>
      <w:rFonts w:eastAsia="仿宋" w:asciiTheme="minorHAnsi" w:hAnsiTheme="minorHAnsi" w:cstheme="minorBidi"/>
      <w:b/>
      <w:bCs/>
      <w:kern w:val="2"/>
      <w:sz w:val="32"/>
      <w:szCs w:val="22"/>
    </w:rPr>
  </w:style>
  <w:style w:type="character" w:styleId="19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8"/>
    <w:unhideWhenUsed/>
    <w:qFormat/>
    <w:uiPriority w:val="0"/>
    <w:rPr>
      <w:sz w:val="21"/>
      <w:szCs w:val="21"/>
    </w:rPr>
  </w:style>
  <w:style w:type="character" w:customStyle="1" w:styleId="21">
    <w:name w:val="标题 1 字符"/>
    <w:basedOn w:val="18"/>
    <w:link w:val="4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22">
    <w:name w:val="标题 2 字符"/>
    <w:basedOn w:val="18"/>
    <w:link w:val="5"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23">
    <w:name w:val="标题 3 字符"/>
    <w:basedOn w:val="18"/>
    <w:link w:val="6"/>
    <w:qFormat/>
    <w:uiPriority w:val="9"/>
    <w:rPr>
      <w:rFonts w:eastAsia="仿宋"/>
      <w:b/>
      <w:bCs/>
      <w:sz w:val="32"/>
      <w:szCs w:val="32"/>
    </w:rPr>
  </w:style>
  <w:style w:type="character" w:customStyle="1" w:styleId="24">
    <w:name w:val="批注文字 字符"/>
    <w:basedOn w:val="18"/>
    <w:link w:val="8"/>
    <w:qFormat/>
    <w:uiPriority w:val="0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25">
    <w:name w:val="批注框文本 字符"/>
    <w:basedOn w:val="18"/>
    <w:link w:val="10"/>
    <w:semiHidden/>
    <w:qFormat/>
    <w:uiPriority w:val="99"/>
    <w:rPr>
      <w:rFonts w:eastAsia="仿宋"/>
      <w:sz w:val="18"/>
      <w:szCs w:val="18"/>
    </w:rPr>
  </w:style>
  <w:style w:type="character" w:customStyle="1" w:styleId="26">
    <w:name w:val="页脚 字符"/>
    <w:basedOn w:val="18"/>
    <w:link w:val="11"/>
    <w:qFormat/>
    <w:uiPriority w:val="99"/>
    <w:rPr>
      <w:rFonts w:eastAsia="仿宋"/>
      <w:sz w:val="18"/>
      <w:szCs w:val="18"/>
    </w:rPr>
  </w:style>
  <w:style w:type="character" w:customStyle="1" w:styleId="27">
    <w:name w:val="页眉 字符"/>
    <w:basedOn w:val="18"/>
    <w:link w:val="12"/>
    <w:qFormat/>
    <w:uiPriority w:val="99"/>
    <w:rPr>
      <w:rFonts w:eastAsia="仿宋"/>
      <w:sz w:val="18"/>
      <w:szCs w:val="18"/>
    </w:rPr>
  </w:style>
  <w:style w:type="paragraph" w:customStyle="1" w:styleId="28">
    <w:name w:val="TOC 标题1"/>
    <w:basedOn w:val="4"/>
    <w:next w:val="1"/>
    <w:unhideWhenUsed/>
    <w:qFormat/>
    <w:uiPriority w:val="39"/>
    <w:pPr>
      <w:widowControl/>
      <w:spacing w:before="24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Cs w:val="32"/>
    </w:rPr>
  </w:style>
  <w:style w:type="character" w:customStyle="1" w:styleId="29">
    <w:name w:val="批注主题 字符"/>
    <w:basedOn w:val="24"/>
    <w:link w:val="16"/>
    <w:semiHidden/>
    <w:qFormat/>
    <w:uiPriority w:val="99"/>
    <w:rPr>
      <w:rFonts w:ascii="Times New Roman" w:hAnsi="Times New Roman" w:eastAsia="仿宋" w:cs="Times New Roman"/>
      <w:b/>
      <w:bCs/>
      <w:kern w:val="2"/>
      <w:sz w:val="32"/>
      <w:szCs w:val="22"/>
    </w:rPr>
  </w:style>
  <w:style w:type="character" w:customStyle="1" w:styleId="30">
    <w:name w:val="font0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styleId="31">
    <w:name w:val="List Paragraph"/>
    <w:basedOn w:val="1"/>
    <w:unhideWhenUsed/>
    <w:qFormat/>
    <w:uiPriority w:val="99"/>
    <w:pPr>
      <w:ind w:firstLine="420"/>
    </w:pPr>
  </w:style>
  <w:style w:type="paragraph" w:customStyle="1" w:styleId="32">
    <w:name w:val="TOC Heading"/>
    <w:basedOn w:val="4"/>
    <w:next w:val="1"/>
    <w:unhideWhenUsed/>
    <w:qFormat/>
    <w:uiPriority w:val="39"/>
    <w:pPr>
      <w:widowControl/>
      <w:spacing w:before="24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Cs w:val="0"/>
      <w:color w:val="2F5597" w:themeColor="accent1" w:themeShade="BF"/>
      <w:kern w:val="0"/>
      <w:szCs w:val="32"/>
    </w:rPr>
  </w:style>
  <w:style w:type="paragraph" w:customStyle="1" w:styleId="33">
    <w:name w:val="p0"/>
    <w:basedOn w:val="1"/>
    <w:qFormat/>
    <w:uiPriority w:val="0"/>
    <w:pPr>
      <w:spacing w:before="100" w:beforeAutospacing="1" w:after="100" w:afterAutospacing="1"/>
    </w:pPr>
    <w:rPr>
      <w:rFonts w:ascii="宋体" w:eastAsia="宋体" w:cs="宋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14078</Words>
  <Characters>14948</Characters>
  <Lines>190</Lines>
  <Paragraphs>53</Paragraphs>
  <TotalTime>16</TotalTime>
  <ScaleCrop>false</ScaleCrop>
  <LinksUpToDate>false</LinksUpToDate>
  <CharactersWithSpaces>15024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2024-05-17T17:49:00Z</dcterms:created>
  <dc:creator>shaotong zh</dc:creator>
  <cp:lastModifiedBy>Administrator</cp:lastModifiedBy>
  <dcterms:modified xsi:type="dcterms:W3CDTF">2024-09-29T08:31:23Z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DDB900C6AA3746A0A221D89598F43270_13</vt:lpwstr>
  </property>
</Properties>
</file>